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7"/>
      <w:bookmarkEnd w:id="0"/>
      <w:bookmarkStart w:id="1" w:name="_Hlt450051172"/>
      <w:bookmarkEnd w:id="1"/>
      <w:bookmarkStart w:id="2" w:name="_Hlt449016246"/>
      <w:bookmarkEnd w:id="2"/>
      <w:bookmarkStart w:id="3" w:name="_Hlt450066085"/>
      <w:bookmarkEnd w:id="3"/>
      <w:bookmarkStart w:id="4" w:name="_Hlt450039480"/>
      <w:bookmarkEnd w:id="4"/>
      <w:bookmarkStart w:id="5" w:name="_Hlt448930105"/>
      <w:bookmarkEnd w:id="5"/>
      <w:bookmarkStart w:id="6" w:name="OLE_LINK111"/>
      <w:r>
        <w:rPr>
          <w:rFonts w:ascii="Arial" w:hAnsi="Arial" w:cs="Arial"/>
          <w:b/>
          <w:sz w:val="24"/>
          <w:szCs w:val="24"/>
        </w:rPr>
        <w:t>33GPP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bookmarkStart w:id="18" w:name="_GoBack"/>
      <w:r>
        <w:rPr>
          <w:rFonts w:hint="eastAsia" w:ascii="Arial" w:hAnsi="Arial" w:cs="Arial"/>
          <w:b/>
          <w:sz w:val="24"/>
          <w:szCs w:val="24"/>
          <w:lang w:val="en-US" w:eastAsia="zh-CN"/>
        </w:rPr>
        <w:t>R4-2415910</w:t>
      </w:r>
      <w:bookmarkEnd w:id="18"/>
    </w:p>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p>
      <w:pPr>
        <w:pStyle w:val="18"/>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bookmarkEnd w:id="6"/>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View on methods for reducing the number of UE Rx chains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1"/>
          <w:rFonts w:hint="eastAsia"/>
          <w:b/>
          <w:highlight w:val="none"/>
        </w:rPr>
        <w:t>ZTE</w:t>
      </w:r>
      <w:r>
        <w:rPr>
          <w:rStyle w:val="61"/>
          <w:rFonts w:hint="eastAsia"/>
          <w:b/>
          <w:highlight w:val="none"/>
          <w:lang w:val="en-US" w:eastAsia="zh-CN"/>
        </w:rPr>
        <w:t xml:space="preserve"> Corporation, Sanechips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Style w:val="61"/>
          <w:rFonts w:hint="eastAsia"/>
          <w:b/>
          <w:highlight w:val="none"/>
          <w:lang w:val="en-US" w:eastAsia="zh-CN"/>
        </w:rPr>
        <w:t>6.6.2</w:t>
      </w:r>
    </w:p>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Style w:val="61"/>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last meeting, some initial discussions on the fragment carrier were carried out [1] but only few of the issues were issued due to the lack of time. There are many open issues are captured in the WF[2], and meanwhile some agreements are also included.</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7" w:name="OLE_LINK18"/>
      <w:r>
        <w:rPr>
          <w:rFonts w:hint="eastAsia" w:eastAsia="宋体" w:cs="Times New Roman"/>
          <w:sz w:val="20"/>
          <w:szCs w:val="20"/>
          <w:lang w:val="en-US" w:eastAsia="zh-CN"/>
        </w:rPr>
        <w:t>we give some discussions on methods for reducing the number of UE Rx chains</w:t>
      </w:r>
      <w:r>
        <w:rPr>
          <w:rFonts w:hint="eastAsia" w:cs="Times New Roman"/>
          <w:sz w:val="20"/>
          <w:szCs w:val="20"/>
          <w:lang w:val="en-US" w:eastAsia="zh-CN"/>
        </w:rPr>
        <w:t xml:space="preserve"> for</w:t>
      </w:r>
      <w:r>
        <w:rPr>
          <w:rFonts w:hint="eastAsia" w:eastAsia="宋体" w:cs="Times New Roman"/>
          <w:sz w:val="20"/>
          <w:szCs w:val="20"/>
          <w:lang w:val="en-US" w:eastAsia="zh-CN"/>
        </w:rPr>
        <w:t xml:space="preserve"> fragment carriers.</w:t>
      </w:r>
      <w:bookmarkEnd w:id="7"/>
      <w:r>
        <w:rPr>
          <w:rFonts w:hint="eastAsia" w:eastAsia="宋体" w:cs="Times New Roman"/>
          <w:sz w:val="20"/>
          <w:szCs w:val="20"/>
          <w:lang w:val="en-US" w:eastAsia="zh-CN"/>
        </w:rPr>
        <w:t xml:space="preserve">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sz w:val="20"/>
          <w:szCs w:val="20"/>
          <w:lang w:val="en-US" w:eastAsia="zh-CN"/>
        </w:rPr>
      </w:pPr>
      <w:bookmarkStart w:id="8" w:name="OLE_LINK66"/>
      <w:bookmarkStart w:id="9" w:name="OLE_LINK38"/>
      <w:bookmarkStart w:id="10" w:name="OLE_LINK48"/>
      <w:bookmarkStart w:id="11" w:name="OLE_LINK23"/>
      <w:r>
        <w:rPr>
          <w:rFonts w:hint="eastAsia" w:cs="Times New Roman"/>
          <w:b w:val="0"/>
          <w:bCs w:val="0"/>
          <w:kern w:val="0"/>
          <w:sz w:val="20"/>
          <w:szCs w:val="20"/>
          <w:highlight w:val="none"/>
          <w:lang w:val="en-US" w:eastAsia="zh-CN"/>
        </w:rPr>
        <w:t xml:space="preserve">For the </w:t>
      </w:r>
      <w:r>
        <w:rPr>
          <w:rFonts w:hint="eastAsia" w:eastAsia="宋体" w:cs="Times New Roman"/>
          <w:sz w:val="20"/>
          <w:szCs w:val="20"/>
          <w:lang w:val="en-US" w:eastAsia="zh-CN"/>
        </w:rPr>
        <w:t>methods for reducing the number of UE Rx chains</w:t>
      </w:r>
      <w:r>
        <w:rPr>
          <w:rFonts w:hint="eastAsia" w:cs="Times New Roman"/>
          <w:sz w:val="20"/>
          <w:szCs w:val="20"/>
          <w:lang w:val="en-US" w:eastAsia="zh-CN"/>
        </w:rPr>
        <w:t>, there is one highlight agreements captured in the WF [2], which is: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topLinePunct w:val="0"/>
              <w:autoSpaceDE/>
              <w:autoSpaceDN/>
              <w:bidi w:val="0"/>
              <w:adjustRightInd/>
              <w:snapToGrid/>
              <w:spacing w:after="180" w:line="240" w:lineRule="atLeast"/>
              <w:textAlignment w:val="auto"/>
              <w:rPr>
                <w:rFonts w:eastAsia="宋体"/>
                <w:color w:val="auto"/>
                <w:sz w:val="28"/>
                <w:szCs w:val="28"/>
                <w:highlight w:val="none"/>
                <w:lang w:eastAsia="zh-TW"/>
              </w:rPr>
            </w:pPr>
            <w:bookmarkStart w:id="12" w:name="OLE_LINK86"/>
            <w:r>
              <w:rPr>
                <w:color w:val="auto"/>
                <w:sz w:val="28"/>
                <w:szCs w:val="28"/>
                <w:highlight w:val="none"/>
                <w:lang w:eastAsia="ja-JP"/>
              </w:rPr>
              <w:t xml:space="preserve">Topic #2: </w:t>
            </w:r>
            <w:bookmarkStart w:id="13" w:name="OLE_LINK63"/>
            <w:r>
              <w:rPr>
                <w:color w:val="auto"/>
                <w:sz w:val="28"/>
                <w:szCs w:val="28"/>
                <w:highlight w:val="none"/>
                <w:lang w:eastAsia="ja-JP"/>
              </w:rPr>
              <w:t>Methods for reducing the number of UE Rx chains</w:t>
            </w:r>
            <w:bookmarkEnd w:id="12"/>
            <w:bookmarkEnd w:id="13"/>
          </w:p>
          <w:p>
            <w:pPr>
              <w:keepNext/>
              <w:keepLines/>
              <w:pageBreakBefore w:val="0"/>
              <w:kinsoku/>
              <w:wordWrap/>
              <w:overflowPunct/>
              <w:topLinePunct w:val="0"/>
              <w:autoSpaceDE/>
              <w:autoSpaceDN/>
              <w:bidi w:val="0"/>
              <w:adjustRightInd/>
              <w:snapToGrid/>
              <w:spacing w:beforeLines="50" w:after="60" w:afterLines="50" w:line="240" w:lineRule="atLeast"/>
              <w:jc w:val="both"/>
              <w:textAlignment w:val="auto"/>
              <w:outlineLvl w:val="3"/>
              <w:rPr>
                <w:rFonts w:ascii="Times New Roman" w:hAnsi="Times New Roman" w:eastAsia="宋体" w:cs="Times New Roman"/>
                <w:b/>
                <w:color w:val="auto"/>
                <w:kern w:val="2"/>
                <w:sz w:val="20"/>
                <w:szCs w:val="20"/>
                <w:highlight w:val="none"/>
                <w:u w:val="single"/>
                <w:lang w:val="en-US" w:eastAsia="ko-KR" w:bidi="ar-SA"/>
              </w:rPr>
            </w:pPr>
            <w:bookmarkStart w:id="14" w:name="OLE_LINK9"/>
            <w:r>
              <w:rPr>
                <w:rFonts w:ascii="Times New Roman" w:hAnsi="Times New Roman" w:eastAsia="宋体" w:cs="Times New Roman"/>
                <w:b/>
                <w:color w:val="auto"/>
                <w:kern w:val="2"/>
                <w:sz w:val="20"/>
                <w:szCs w:val="36"/>
                <w:highlight w:val="none"/>
                <w:u w:val="single"/>
                <w:lang w:val="en-US" w:eastAsia="ko-KR" w:bidi="ar-SA"/>
              </w:rPr>
              <w:t>I</w:t>
            </w:r>
            <w:r>
              <w:rPr>
                <w:rFonts w:ascii="Times New Roman" w:hAnsi="Times New Roman" w:eastAsia="宋体" w:cs="Times New Roman"/>
                <w:b/>
                <w:color w:val="auto"/>
                <w:kern w:val="2"/>
                <w:sz w:val="20"/>
                <w:szCs w:val="20"/>
                <w:highlight w:val="none"/>
                <w:u w:val="single"/>
                <w:lang w:val="en-US" w:eastAsia="ko-KR" w:bidi="ar-SA"/>
              </w:rPr>
              <w:t>ssue 2-1-1: Applicability and clarification on the scope</w:t>
            </w:r>
          </w:p>
          <w:p>
            <w:pPr>
              <w:keepNext/>
              <w:keepLines/>
              <w:pageBreakBefore w:val="0"/>
              <w:kinsoku/>
              <w:wordWrap/>
              <w:overflowPunct/>
              <w:topLinePunct w:val="0"/>
              <w:autoSpaceDE/>
              <w:autoSpaceDN/>
              <w:bidi w:val="0"/>
              <w:adjustRightInd/>
              <w:snapToGrid/>
              <w:spacing w:after="180" w:line="240" w:lineRule="atLeast"/>
              <w:textAlignment w:val="auto"/>
              <w:rPr>
                <w:rFonts w:eastAsia="宋体"/>
                <w:color w:val="auto"/>
                <w:sz w:val="20"/>
                <w:szCs w:val="20"/>
                <w:highlight w:val="none"/>
                <w:lang w:eastAsia="zh-TW"/>
              </w:rPr>
            </w:pPr>
            <w:r>
              <w:rPr>
                <w:rFonts w:eastAsia="宋体"/>
                <w:color w:val="auto"/>
                <w:sz w:val="20"/>
                <w:szCs w:val="20"/>
                <w:highlight w:val="none"/>
                <w:lang w:eastAsia="zh-TW"/>
              </w:rPr>
              <w:t>Online agreements:</w:t>
            </w:r>
          </w:p>
          <w:p>
            <w:pPr>
              <w:keepNext/>
              <w:keepLines/>
              <w:pageBreakBefore w:val="0"/>
              <w:kinsoku/>
              <w:wordWrap/>
              <w:overflowPunct/>
              <w:topLinePunct w:val="0"/>
              <w:autoSpaceDE/>
              <w:autoSpaceDN/>
              <w:bidi w:val="0"/>
              <w:adjustRightInd/>
              <w:snapToGrid/>
              <w:spacing w:after="120" w:line="240" w:lineRule="atLeast"/>
              <w:textAlignment w:val="auto"/>
              <w:rPr>
                <w:color w:val="auto"/>
                <w:sz w:val="20"/>
                <w:szCs w:val="20"/>
                <w:highlight w:val="none"/>
                <w:lang w:eastAsia="zh-CN"/>
              </w:rPr>
            </w:pPr>
            <w:r>
              <w:rPr>
                <w:color w:val="auto"/>
                <w:sz w:val="20"/>
                <w:szCs w:val="20"/>
                <w:highlight w:val="none"/>
                <w:lang w:eastAsia="zh-CN"/>
              </w:rPr>
              <w:t>Agreement:</w:t>
            </w:r>
          </w:p>
          <w:p>
            <w:pPr>
              <w:keepNext/>
              <w:keepLines/>
              <w:pageBreakBefore w:val="0"/>
              <w:numPr>
                <w:ilvl w:val="0"/>
                <w:numId w:val="7"/>
              </w:numPr>
              <w:tabs>
                <w:tab w:val="left" w:pos="720"/>
              </w:tabs>
              <w:kinsoku/>
              <w:wordWrap/>
              <w:overflowPunct/>
              <w:topLinePunct w:val="0"/>
              <w:autoSpaceDE/>
              <w:autoSpaceDN/>
              <w:bidi w:val="0"/>
              <w:adjustRightInd/>
              <w:snapToGrid/>
              <w:spacing w:beforeLines="50" w:after="180" w:afterLines="50" w:line="240" w:lineRule="atLeast"/>
              <w:ind w:left="936" w:leftChars="0" w:hanging="36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The goal of the DL fragmented carrier study is to study the method to enable support of DL non-contiguous 2CC by using a single Rx RF chain</w:t>
            </w:r>
          </w:p>
          <w:p>
            <w:pPr>
              <w:keepNext/>
              <w:keepLines/>
              <w:pageBreakBefore w:val="0"/>
              <w:numPr>
                <w:ilvl w:val="2"/>
                <w:numId w:val="7"/>
              </w:numPr>
              <w:tabs>
                <w:tab w:val="left" w:pos="720"/>
              </w:tabs>
              <w:kinsoku/>
              <w:wordWrap/>
              <w:overflowPunct/>
              <w:topLinePunct w:val="0"/>
              <w:autoSpaceDE/>
              <w:autoSpaceDN/>
              <w:bidi w:val="0"/>
              <w:adjustRightInd/>
              <w:snapToGrid/>
              <w:spacing w:beforeLines="50" w:after="180" w:afterLines="50" w:line="240" w:lineRule="atLeast"/>
              <w:ind w:left="249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The two non-contiguous CCs is still under the current DL non-contiguous CA framework</w:t>
            </w:r>
          </w:p>
          <w:p>
            <w:pPr>
              <w:keepNext/>
              <w:keepLines/>
              <w:pageBreakBefore w:val="0"/>
              <w:numPr>
                <w:ilvl w:val="3"/>
                <w:numId w:val="7"/>
              </w:numPr>
              <w:tabs>
                <w:tab w:val="left" w:pos="720"/>
              </w:tabs>
              <w:kinsoku/>
              <w:wordWrap/>
              <w:overflowPunct/>
              <w:topLinePunct w:val="0"/>
              <w:autoSpaceDE/>
              <w:autoSpaceDN/>
              <w:bidi w:val="0"/>
              <w:adjustRightInd/>
              <w:snapToGrid/>
              <w:spacing w:beforeLines="50" w:after="180" w:afterLines="50" w:line="240" w:lineRule="atLeast"/>
              <w:ind w:left="321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PMingLiU" w:cs="Times New Roman"/>
                <w:color w:val="auto"/>
                <w:kern w:val="2"/>
                <w:sz w:val="20"/>
                <w:szCs w:val="20"/>
                <w:highlight w:val="none"/>
                <w:lang w:val="en-US" w:eastAsia="zh-TW" w:bidi="ar-SA"/>
              </w:rPr>
              <w:t xml:space="preserve">Each fragment is treated as an individual CC </w:t>
            </w:r>
          </w:p>
          <w:p>
            <w:pPr>
              <w:keepNext/>
              <w:keepLines/>
              <w:pageBreakBefore w:val="0"/>
              <w:numPr>
                <w:ilvl w:val="2"/>
                <w:numId w:val="7"/>
              </w:numPr>
              <w:tabs>
                <w:tab w:val="left" w:pos="720"/>
              </w:tabs>
              <w:kinsoku/>
              <w:wordWrap/>
              <w:overflowPunct/>
              <w:topLinePunct w:val="0"/>
              <w:autoSpaceDE/>
              <w:autoSpaceDN/>
              <w:bidi w:val="0"/>
              <w:adjustRightInd/>
              <w:snapToGrid/>
              <w:spacing w:beforeLines="50" w:after="180" w:afterLines="50" w:line="240" w:lineRule="atLeast"/>
              <w:ind w:left="249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The study should be future-proof for the higher order inter/intra-band combinations or additional CC(s) within the same band with fragments within 100MHz.</w:t>
            </w:r>
          </w:p>
          <w:p>
            <w:pPr>
              <w:keepNext/>
              <w:keepLines/>
              <w:pageBreakBefore w:val="0"/>
              <w:numPr>
                <w:ilvl w:val="2"/>
                <w:numId w:val="7"/>
              </w:numPr>
              <w:tabs>
                <w:tab w:val="left" w:pos="720"/>
              </w:tabs>
              <w:kinsoku/>
              <w:wordWrap/>
              <w:overflowPunct/>
              <w:topLinePunct w:val="0"/>
              <w:autoSpaceDE/>
              <w:autoSpaceDN/>
              <w:bidi w:val="0"/>
              <w:adjustRightInd/>
              <w:snapToGrid/>
              <w:spacing w:beforeLines="50" w:after="180" w:afterLines="50" w:line="240" w:lineRule="atLeast"/>
              <w:ind w:left="2496" w:leftChars="0" w:hanging="480"/>
              <w:jc w:val="both"/>
              <w:textAlignment w:val="auto"/>
              <w:rPr>
                <w:rFonts w:ascii="Times New Roman" w:hAnsi="Times New Roman" w:eastAsia="宋体" w:cs="Times New Roman"/>
                <w:color w:val="auto"/>
                <w:kern w:val="2"/>
                <w:sz w:val="20"/>
                <w:szCs w:val="20"/>
                <w:highlight w:val="none"/>
                <w:lang w:val="en-US" w:eastAsia="zh-CN" w:bidi="ar-SA"/>
              </w:rPr>
            </w:pPr>
            <w:bookmarkStart w:id="15" w:name="OLE_LINK46"/>
            <w:bookmarkStart w:id="16" w:name="OLE_LINK35"/>
            <w:r>
              <w:rPr>
                <w:rFonts w:ascii="Times New Roman" w:hAnsi="Times New Roman" w:eastAsia="宋体" w:cs="Times New Roman"/>
                <w:color w:val="auto"/>
                <w:kern w:val="2"/>
                <w:sz w:val="20"/>
                <w:szCs w:val="20"/>
                <w:highlight w:val="none"/>
                <w:lang w:val="en-US" w:eastAsia="zh-CN" w:bidi="ar-SA"/>
              </w:rPr>
              <w:t xml:space="preserve">[The scope should be those bands, where the fragments are fully confined within 100MHz, which includes all FDD/SDL bands and TDD bands </w:t>
            </w:r>
          </w:p>
          <w:bookmarkEnd w:id="15"/>
          <w:p>
            <w:pPr>
              <w:keepNext/>
              <w:keepLines/>
              <w:pageBreakBefore w:val="0"/>
              <w:numPr>
                <w:ilvl w:val="3"/>
                <w:numId w:val="7"/>
              </w:numPr>
              <w:tabs>
                <w:tab w:val="left" w:pos="720"/>
              </w:tabs>
              <w:kinsoku/>
              <w:wordWrap/>
              <w:overflowPunct/>
              <w:topLinePunct w:val="0"/>
              <w:autoSpaceDE/>
              <w:autoSpaceDN/>
              <w:bidi w:val="0"/>
              <w:adjustRightInd/>
              <w:snapToGrid/>
              <w:spacing w:beforeLines="50" w:after="180" w:afterLines="50" w:line="240" w:lineRule="atLeast"/>
              <w:ind w:left="3216" w:leftChars="0" w:hanging="480"/>
              <w:jc w:val="both"/>
              <w:textAlignment w:val="auto"/>
              <w:rPr>
                <w:rFonts w:ascii="Times New Roman" w:hAnsi="Times New Roman" w:eastAsia="宋体" w:cs="Times New Roman"/>
                <w:color w:val="auto"/>
                <w:kern w:val="2"/>
                <w:sz w:val="20"/>
                <w:szCs w:val="20"/>
                <w:highlight w:val="none"/>
                <w:lang w:val="en-US" w:eastAsia="zh-CN" w:bidi="ar-SA"/>
              </w:rPr>
            </w:pPr>
            <w:r>
              <w:rPr>
                <w:rFonts w:ascii="Times New Roman" w:hAnsi="Times New Roman" w:eastAsia="宋体" w:cs="Times New Roman"/>
                <w:color w:val="auto"/>
                <w:kern w:val="2"/>
                <w:sz w:val="20"/>
                <w:szCs w:val="20"/>
                <w:highlight w:val="none"/>
                <w:lang w:val="en-US" w:eastAsia="zh-CN" w:bidi="ar-SA"/>
              </w:rPr>
              <w:t>Consider n2/n25, n3, n7, n66, n41, n39 as the example bands.</w:t>
            </w:r>
          </w:p>
          <w:p>
            <w:pPr>
              <w:keepNext/>
              <w:keepLines/>
              <w:pageBreakBefore w:val="0"/>
              <w:numPr>
                <w:ilvl w:val="4"/>
                <w:numId w:val="7"/>
              </w:numPr>
              <w:tabs>
                <w:tab w:val="left" w:pos="720"/>
              </w:tabs>
              <w:kinsoku/>
              <w:wordWrap/>
              <w:overflowPunct/>
              <w:topLinePunct w:val="0"/>
              <w:autoSpaceDE/>
              <w:autoSpaceDN/>
              <w:bidi w:val="0"/>
              <w:adjustRightInd/>
              <w:snapToGrid/>
              <w:spacing w:beforeLines="50" w:after="180" w:afterLines="50" w:line="240" w:lineRule="atLeast"/>
              <w:ind w:left="3816" w:leftChars="0" w:hanging="360"/>
              <w:jc w:val="both"/>
              <w:textAlignment w:val="auto"/>
              <w:rPr>
                <w:rFonts w:hint="default" w:cs="Times New Roman"/>
                <w:sz w:val="20"/>
                <w:szCs w:val="20"/>
                <w:vertAlign w:val="baseline"/>
                <w:lang w:val="en-US" w:eastAsia="zh-CN"/>
              </w:rPr>
            </w:pPr>
            <w:bookmarkStart w:id="17" w:name="OLE_LINK47"/>
            <w:r>
              <w:rPr>
                <w:rFonts w:ascii="Times New Roman" w:hAnsi="Times New Roman" w:eastAsia="宋体" w:cs="Times New Roman"/>
                <w:color w:val="auto"/>
                <w:kern w:val="2"/>
                <w:sz w:val="20"/>
                <w:szCs w:val="20"/>
                <w:highlight w:val="none"/>
                <w:lang w:val="en-US" w:eastAsia="zh-CN" w:bidi="ar-SA"/>
              </w:rPr>
              <w:t>Provide the details related to gap between fragmented DL blocks]</w:t>
            </w:r>
            <w:bookmarkEnd w:id="14"/>
            <w:bookmarkEnd w:id="16"/>
            <w:bookmarkEnd w:id="17"/>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color w:val="auto"/>
          <w:kern w:val="2"/>
          <w:sz w:val="20"/>
          <w:szCs w:val="20"/>
          <w:highlight w:val="none"/>
          <w:lang w:val="en-US" w:eastAsia="zh-CN" w:bidi="ar-SA"/>
        </w:rPr>
      </w:pPr>
      <w:r>
        <w:rPr>
          <w:rFonts w:hint="eastAsia" w:cs="Times New Roman"/>
          <w:b w:val="0"/>
          <w:bCs w:val="0"/>
          <w:kern w:val="0"/>
          <w:sz w:val="20"/>
          <w:szCs w:val="20"/>
          <w:highlight w:val="none"/>
          <w:lang w:val="en-US" w:eastAsia="zh-CN"/>
        </w:rPr>
        <w:t>In terms of the above agreements, it can be clearly saw that the goal of this SID is to study t</w:t>
      </w:r>
      <w:r>
        <w:rPr>
          <w:rFonts w:ascii="Times New Roman" w:hAnsi="Times New Roman" w:eastAsia="宋体" w:cs="Times New Roman"/>
          <w:color w:val="auto"/>
          <w:kern w:val="2"/>
          <w:sz w:val="20"/>
          <w:szCs w:val="20"/>
          <w:highlight w:val="none"/>
          <w:lang w:val="en-US" w:eastAsia="zh-CN" w:bidi="ar-SA"/>
        </w:rPr>
        <w:t>he method to enable support of DL non-contiguous 2CC by using a single Rx RF chain</w:t>
      </w:r>
      <w:r>
        <w:rPr>
          <w:rFonts w:hint="eastAsia" w:cs="Times New Roman"/>
          <w:color w:val="auto"/>
          <w:kern w:val="2"/>
          <w:sz w:val="20"/>
          <w:szCs w:val="20"/>
          <w:highlight w:val="none"/>
          <w:lang w:val="en-US" w:eastAsia="zh-CN" w:bidi="ar-SA"/>
        </w:rPr>
        <w:t xml:space="preserve">. Here, it uses </w:t>
      </w:r>
      <w:r>
        <w:rPr>
          <w:rFonts w:hint="default" w:cs="Times New Roman"/>
          <w:color w:val="auto"/>
          <w:kern w:val="2"/>
          <w:sz w:val="20"/>
          <w:szCs w:val="20"/>
          <w:highlight w:val="none"/>
          <w:lang w:val="en-US" w:eastAsia="zh-CN" w:bidi="ar-SA"/>
        </w:rPr>
        <w:t>‘</w:t>
      </w:r>
      <w:r>
        <w:rPr>
          <w:rFonts w:hint="eastAsia" w:cs="Times New Roman"/>
          <w:color w:val="auto"/>
          <w:kern w:val="2"/>
          <w:sz w:val="20"/>
          <w:szCs w:val="20"/>
          <w:highlight w:val="none"/>
          <w:lang w:val="en-US" w:eastAsia="zh-CN" w:bidi="ar-SA"/>
        </w:rPr>
        <w:t>single Rx RF chain</w:t>
      </w:r>
      <w:r>
        <w:rPr>
          <w:rFonts w:hint="default" w:cs="Times New Roman"/>
          <w:color w:val="auto"/>
          <w:kern w:val="2"/>
          <w:sz w:val="20"/>
          <w:szCs w:val="20"/>
          <w:highlight w:val="none"/>
          <w:lang w:val="en-US" w:eastAsia="zh-CN" w:bidi="ar-SA"/>
        </w:rPr>
        <w:t>’</w:t>
      </w:r>
      <w:r>
        <w:rPr>
          <w:rFonts w:hint="eastAsia" w:cs="Times New Roman"/>
          <w:color w:val="auto"/>
          <w:kern w:val="2"/>
          <w:sz w:val="20"/>
          <w:szCs w:val="20"/>
          <w:highlight w:val="none"/>
          <w:lang w:val="en-US" w:eastAsia="zh-CN" w:bidi="ar-SA"/>
        </w:rPr>
        <w:t xml:space="preserve">, rather than </w:t>
      </w:r>
      <w:r>
        <w:rPr>
          <w:rFonts w:hint="default" w:cs="Times New Roman"/>
          <w:color w:val="auto"/>
          <w:kern w:val="2"/>
          <w:sz w:val="20"/>
          <w:szCs w:val="20"/>
          <w:highlight w:val="none"/>
          <w:lang w:val="en-US" w:eastAsia="zh-CN" w:bidi="ar-SA"/>
        </w:rPr>
        <w:t>‘</w:t>
      </w:r>
      <w:r>
        <w:rPr>
          <w:rFonts w:hint="eastAsia" w:cs="Times New Roman"/>
          <w:color w:val="auto"/>
          <w:kern w:val="2"/>
          <w:sz w:val="20"/>
          <w:szCs w:val="20"/>
          <w:highlight w:val="none"/>
          <w:lang w:val="en-US" w:eastAsia="zh-CN" w:bidi="ar-SA"/>
        </w:rPr>
        <w:t>single Rx RF chain</w:t>
      </w:r>
      <w:r>
        <w:rPr>
          <w:rFonts w:hint="default" w:cs="Times New Roman"/>
          <w:color w:val="auto"/>
          <w:kern w:val="2"/>
          <w:sz w:val="20"/>
          <w:szCs w:val="20"/>
          <w:highlight w:val="none"/>
          <w:lang w:val="en-US" w:eastAsia="zh-CN" w:bidi="ar-SA"/>
        </w:rPr>
        <w:t>’</w:t>
      </w:r>
      <w:r>
        <w:rPr>
          <w:rFonts w:hint="eastAsia" w:cs="Times New Roman"/>
          <w:color w:val="auto"/>
          <w:kern w:val="2"/>
          <w:sz w:val="20"/>
          <w:szCs w:val="20"/>
          <w:highlight w:val="none"/>
          <w:lang w:val="en-US" w:eastAsia="zh-CN" w:bidi="ar-SA"/>
        </w:rPr>
        <w:t xml:space="preserve">, our understanding is that it does not include the baseband according to the term of </w:t>
      </w:r>
      <w:r>
        <w:rPr>
          <w:rFonts w:hint="default" w:cs="Times New Roman"/>
          <w:color w:val="auto"/>
          <w:kern w:val="2"/>
          <w:sz w:val="20"/>
          <w:szCs w:val="20"/>
          <w:highlight w:val="none"/>
          <w:lang w:val="en-US" w:eastAsia="zh-CN" w:bidi="ar-SA"/>
        </w:rPr>
        <w:t>‘</w:t>
      </w:r>
      <w:r>
        <w:rPr>
          <w:rFonts w:hint="eastAsia" w:cs="Times New Roman"/>
          <w:color w:val="auto"/>
          <w:kern w:val="2"/>
          <w:sz w:val="20"/>
          <w:szCs w:val="20"/>
          <w:highlight w:val="none"/>
          <w:lang w:val="en-US" w:eastAsia="zh-CN" w:bidi="ar-SA"/>
        </w:rPr>
        <w:t>single Rx RF chain</w:t>
      </w:r>
      <w:r>
        <w:rPr>
          <w:rFonts w:hint="default" w:cs="Times New Roman"/>
          <w:color w:val="auto"/>
          <w:kern w:val="2"/>
          <w:sz w:val="20"/>
          <w:szCs w:val="20"/>
          <w:highlight w:val="none"/>
          <w:lang w:val="en-US" w:eastAsia="zh-CN" w:bidi="ar-SA"/>
        </w:rPr>
        <w:t>’</w:t>
      </w:r>
      <w:r>
        <w:rPr>
          <w:rFonts w:hint="eastAsia" w:cs="Times New Roman"/>
          <w:color w:val="auto"/>
          <w:kern w:val="2"/>
          <w:sz w:val="20"/>
          <w:szCs w:val="20"/>
          <w:highlight w:val="none"/>
          <w:lang w:val="en-US" w:eastAsia="zh-CN" w:bidi="ar-SA"/>
        </w:rPr>
        <w:t>.</w:t>
      </w:r>
    </w:p>
    <w:p>
      <w:pPr>
        <w:keepNext/>
        <w:keepLines/>
        <w:pageBreakBefore w:val="0"/>
        <w:numPr>
          <w:ilvl w:val="0"/>
          <w:numId w:val="0"/>
        </w:numPr>
        <w:tabs>
          <w:tab w:val="left" w:pos="720"/>
        </w:tabs>
        <w:kinsoku/>
        <w:wordWrap/>
        <w:overflowPunct/>
        <w:topLinePunct w:val="0"/>
        <w:autoSpaceDE/>
        <w:autoSpaceDN/>
        <w:bidi w:val="0"/>
        <w:adjustRightInd/>
        <w:snapToGrid/>
        <w:spacing w:beforeLines="50" w:afterLines="50" w:line="240" w:lineRule="atLeast"/>
        <w:jc w:val="both"/>
        <w:textAlignment w:val="auto"/>
        <w:rPr>
          <w:rFonts w:hint="default" w:cs="Times New Roman"/>
          <w:b/>
          <w:bCs/>
          <w:i/>
          <w:iCs/>
          <w:color w:val="auto"/>
          <w:kern w:val="2"/>
          <w:sz w:val="20"/>
          <w:szCs w:val="20"/>
          <w:highlight w:val="none"/>
          <w:lang w:val="en-US" w:eastAsia="zh-CN" w:bidi="ar-SA"/>
        </w:rPr>
      </w:pPr>
      <w:r>
        <w:rPr>
          <w:rFonts w:hint="eastAsia" w:cs="Times New Roman"/>
          <w:b/>
          <w:bCs/>
          <w:i/>
          <w:iCs/>
          <w:color w:val="auto"/>
          <w:kern w:val="2"/>
          <w:sz w:val="20"/>
          <w:szCs w:val="20"/>
          <w:highlight w:val="none"/>
          <w:lang w:val="en-US" w:eastAsia="zh-CN" w:bidi="ar-SA"/>
        </w:rPr>
        <w:t>Observation: U</w:t>
      </w:r>
      <w:r>
        <w:rPr>
          <w:rFonts w:ascii="Times New Roman" w:hAnsi="Times New Roman" w:eastAsia="宋体" w:cs="Times New Roman"/>
          <w:b/>
          <w:bCs/>
          <w:i/>
          <w:iCs/>
          <w:color w:val="auto"/>
          <w:kern w:val="2"/>
          <w:sz w:val="20"/>
          <w:szCs w:val="20"/>
          <w:highlight w:val="none"/>
          <w:lang w:val="en-US" w:eastAsia="zh-CN" w:bidi="ar-SA"/>
        </w:rPr>
        <w:t>sing a single Rx RF chain</w:t>
      </w:r>
      <w:r>
        <w:rPr>
          <w:rFonts w:hint="eastAsia" w:cs="Times New Roman"/>
          <w:b/>
          <w:bCs/>
          <w:i/>
          <w:iCs/>
          <w:color w:val="auto"/>
          <w:kern w:val="2"/>
          <w:sz w:val="20"/>
          <w:szCs w:val="20"/>
          <w:highlight w:val="none"/>
          <w:lang w:val="en-US" w:eastAsia="zh-CN" w:bidi="ar-SA"/>
        </w:rPr>
        <w:t xml:space="preserve"> method to support DL non-contiguous 2CC is the study goal</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color w:val="auto"/>
          <w:kern w:val="2"/>
          <w:sz w:val="20"/>
          <w:szCs w:val="20"/>
          <w:highlight w:val="none"/>
          <w:lang w:val="en-US" w:eastAsia="zh-CN" w:bidi="ar-SA"/>
        </w:rPr>
      </w:pPr>
      <w:r>
        <w:rPr>
          <w:rFonts w:hint="eastAsia" w:cs="Times New Roman"/>
          <w:color w:val="auto"/>
          <w:kern w:val="2"/>
          <w:sz w:val="20"/>
          <w:szCs w:val="20"/>
          <w:highlight w:val="none"/>
          <w:lang w:val="en-US" w:eastAsia="zh-CN" w:bidi="ar-SA"/>
        </w:rPr>
        <w:t xml:space="preserve">The assumption for the baseband </w:t>
      </w:r>
      <w:r>
        <w:rPr>
          <w:rFonts w:ascii="Times New Roman" w:hAnsi="Times New Roman" w:eastAsia="宋体" w:cs="Times New Roman"/>
          <w:color w:val="auto"/>
          <w:kern w:val="0"/>
          <w:sz w:val="20"/>
          <w:szCs w:val="24"/>
          <w:highlight w:val="none"/>
          <w:lang w:eastAsia="zh-CN"/>
        </w:rPr>
        <w:t xml:space="preserve">assumptions </w:t>
      </w:r>
      <w:r>
        <w:rPr>
          <w:rFonts w:hint="eastAsia" w:cs="Times New Roman"/>
          <w:color w:val="auto"/>
          <w:kern w:val="0"/>
          <w:sz w:val="20"/>
          <w:szCs w:val="24"/>
          <w:highlight w:val="none"/>
          <w:lang w:val="en-US" w:eastAsia="zh-CN"/>
        </w:rPr>
        <w:t>is pended on the following issues.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keepLines/>
              <w:pageBreakBefore w:val="0"/>
              <w:kinsoku/>
              <w:wordWrap/>
              <w:overflowPunct/>
              <w:topLinePunct w:val="0"/>
              <w:autoSpaceDE/>
              <w:autoSpaceDN/>
              <w:bidi w:val="0"/>
              <w:adjustRightInd/>
              <w:snapToGrid/>
              <w:spacing w:after="60" w:line="240" w:lineRule="atLeast"/>
              <w:textAlignment w:val="auto"/>
              <w:rPr>
                <w:rFonts w:ascii="Times New Roman" w:hAnsi="Times New Roman"/>
                <w:b/>
                <w:color w:val="auto"/>
                <w:sz w:val="20"/>
                <w:highlight w:val="none"/>
                <w:u w:val="single"/>
                <w:lang w:val="en-US" w:eastAsia="ko-KR"/>
              </w:rPr>
            </w:pPr>
            <w:r>
              <w:rPr>
                <w:rFonts w:ascii="Times New Roman" w:hAnsi="Times New Roman"/>
                <w:b/>
                <w:color w:val="auto"/>
                <w:sz w:val="20"/>
                <w:highlight w:val="none"/>
                <w:u w:val="single"/>
                <w:lang w:eastAsia="ko-KR"/>
              </w:rPr>
              <w:t>Issue 2-1-2: Reference architecture</w:t>
            </w:r>
          </w:p>
          <w:p>
            <w:pPr>
              <w:keepNext/>
              <w:keepLines/>
              <w:pageBreakBefore w:val="0"/>
              <w:kinsoku/>
              <w:wordWrap/>
              <w:overflowPunct/>
              <w:topLinePunct w:val="0"/>
              <w:autoSpaceDE/>
              <w:autoSpaceDN/>
              <w:bidi w:val="0"/>
              <w:adjustRightInd/>
              <w:snapToGrid/>
              <w:spacing w:after="120" w:line="240" w:lineRule="atLeast"/>
              <w:textAlignment w:val="auto"/>
              <w:rPr>
                <w:rFonts w:eastAsia="宋体"/>
                <w:color w:val="auto"/>
                <w:szCs w:val="24"/>
                <w:highlight w:val="none"/>
                <w:lang w:eastAsia="zh-CN"/>
              </w:rPr>
            </w:pPr>
            <w:r>
              <w:rPr>
                <w:rFonts w:eastAsia="宋体"/>
                <w:color w:val="auto"/>
                <w:szCs w:val="24"/>
                <w:highlight w:val="none"/>
                <w:lang w:eastAsia="zh-CN"/>
              </w:rPr>
              <w:t>Recommended WF:</w:t>
            </w:r>
          </w:p>
          <w:p>
            <w:pPr>
              <w:pStyle w:val="35"/>
              <w:keepNext/>
              <w:keepLines/>
              <w:pageBreakBefore w:val="0"/>
              <w:numPr>
                <w:ilvl w:val="0"/>
                <w:numId w:val="7"/>
              </w:numPr>
              <w:kinsoku/>
              <w:wordWrap/>
              <w:overflowPunct/>
              <w:topLinePunct w:val="0"/>
              <w:autoSpaceDE/>
              <w:autoSpaceDN/>
              <w:bidi w:val="0"/>
              <w:adjustRightInd/>
              <w:snapToGrid/>
              <w:spacing w:after="120" w:line="240" w:lineRule="atLeast"/>
              <w:ind w:left="720" w:firstLineChars="0"/>
              <w:textAlignment w:val="auto"/>
              <w:rPr>
                <w:rFonts w:ascii="Times New Roman" w:hAnsi="Times New Roman" w:eastAsia="宋体" w:cs="Times New Roman"/>
                <w:color w:val="auto"/>
                <w:kern w:val="0"/>
                <w:sz w:val="20"/>
                <w:szCs w:val="24"/>
                <w:highlight w:val="none"/>
                <w:lang w:eastAsia="zh-CN"/>
              </w:rPr>
            </w:pPr>
            <w:r>
              <w:rPr>
                <w:rFonts w:ascii="Times New Roman" w:hAnsi="Times New Roman" w:eastAsia="宋体" w:cs="Times New Roman"/>
                <w:color w:val="auto"/>
                <w:kern w:val="0"/>
                <w:sz w:val="20"/>
                <w:szCs w:val="24"/>
                <w:highlight w:val="none"/>
                <w:lang w:eastAsia="zh-CN"/>
              </w:rPr>
              <w:t xml:space="preserve">The existing requirements for DL NCCA was specified based on partially-shared Rx </w:t>
            </w:r>
            <w:r>
              <w:rPr>
                <w:rFonts w:hint="eastAsia" w:ascii="Times New Roman" w:hAnsi="Times New Roman" w:eastAsia="宋体" w:cs="Times New Roman"/>
                <w:color w:val="auto"/>
                <w:kern w:val="0"/>
                <w:sz w:val="20"/>
                <w:szCs w:val="24"/>
                <w:highlight w:val="none"/>
                <w:lang w:eastAsia="zh-CN"/>
              </w:rPr>
              <w:t>ar</w:t>
            </w:r>
            <w:r>
              <w:rPr>
                <w:rFonts w:ascii="Times New Roman" w:hAnsi="Times New Roman" w:eastAsia="宋体" w:cs="Times New Roman"/>
                <w:color w:val="auto"/>
                <w:kern w:val="0"/>
                <w:sz w:val="20"/>
                <w:szCs w:val="24"/>
                <w:highlight w:val="none"/>
                <w:lang w:eastAsia="zh-CN"/>
              </w:rPr>
              <w:t>chitecture</w:t>
            </w:r>
            <w:r>
              <w:rPr>
                <w:rFonts w:hint="eastAsia" w:ascii="Times New Roman" w:hAnsi="Times New Roman" w:eastAsia="宋体" w:cs="Times New Roman"/>
                <w:color w:val="auto"/>
                <w:kern w:val="0"/>
                <w:sz w:val="20"/>
                <w:szCs w:val="24"/>
                <w:highlight w:val="none"/>
                <w:lang w:val="en-US" w:eastAsia="zh-CN"/>
              </w:rPr>
              <w:t xml:space="preserve"> </w:t>
            </w:r>
            <w:r>
              <w:rPr>
                <w:rFonts w:ascii="Times New Roman" w:hAnsi="Times New Roman" w:eastAsia="宋体" w:cs="Times New Roman"/>
                <w:color w:val="auto"/>
                <w:kern w:val="0"/>
                <w:sz w:val="20"/>
                <w:szCs w:val="24"/>
                <w:highlight w:val="none"/>
                <w:lang w:eastAsia="zh-CN"/>
              </w:rPr>
              <w:t xml:space="preserve">according to TR36.823. </w:t>
            </w:r>
          </w:p>
          <w:p>
            <w:pPr>
              <w:pStyle w:val="35"/>
              <w:keepNext/>
              <w:keepLines/>
              <w:pageBreakBefore w:val="0"/>
              <w:numPr>
                <w:ilvl w:val="0"/>
                <w:numId w:val="7"/>
              </w:numPr>
              <w:kinsoku/>
              <w:wordWrap/>
              <w:overflowPunct/>
              <w:topLinePunct w:val="0"/>
              <w:autoSpaceDE/>
              <w:autoSpaceDN/>
              <w:bidi w:val="0"/>
              <w:adjustRightInd/>
              <w:snapToGrid/>
              <w:spacing w:after="120" w:line="240" w:lineRule="atLeast"/>
              <w:ind w:left="720" w:firstLineChars="0"/>
              <w:textAlignment w:val="auto"/>
              <w:rPr>
                <w:rFonts w:ascii="Times New Roman" w:hAnsi="Times New Roman" w:eastAsia="宋体" w:cs="Times New Roman"/>
                <w:color w:val="auto"/>
                <w:kern w:val="0"/>
                <w:sz w:val="20"/>
                <w:szCs w:val="24"/>
                <w:highlight w:val="none"/>
                <w:lang w:eastAsia="zh-CN"/>
              </w:rPr>
            </w:pPr>
            <w:r>
              <w:rPr>
                <w:rFonts w:ascii="Times New Roman" w:hAnsi="Times New Roman" w:eastAsia="宋体" w:cs="Times New Roman"/>
                <w:color w:val="auto"/>
                <w:kern w:val="0"/>
                <w:sz w:val="20"/>
                <w:szCs w:val="24"/>
                <w:highlight w:val="none"/>
                <w:lang w:eastAsia="zh-CN"/>
              </w:rPr>
              <w:t>FFS on following options for reducing number of Rx chains for DL non-contiguous CCs:</w:t>
            </w:r>
          </w:p>
          <w:p>
            <w:pPr>
              <w:pStyle w:val="35"/>
              <w:keepNext/>
              <w:keepLines/>
              <w:pageBreakBefore w:val="0"/>
              <w:numPr>
                <w:ilvl w:val="1"/>
                <w:numId w:val="8"/>
              </w:numPr>
              <w:kinsoku/>
              <w:wordWrap/>
              <w:overflowPunct/>
              <w:topLinePunct w:val="0"/>
              <w:autoSpaceDE/>
              <w:autoSpaceDN/>
              <w:bidi w:val="0"/>
              <w:adjustRightInd/>
              <w:snapToGrid/>
              <w:spacing w:after="120" w:line="240" w:lineRule="atLeast"/>
              <w:ind w:firstLineChars="0"/>
              <w:textAlignment w:val="auto"/>
              <w:rPr>
                <w:rFonts w:ascii="Times New Roman" w:hAnsi="Times New Roman" w:eastAsia="宋体" w:cs="Times New Roman"/>
                <w:color w:val="auto"/>
                <w:kern w:val="0"/>
                <w:sz w:val="20"/>
                <w:szCs w:val="24"/>
                <w:highlight w:val="none"/>
                <w:lang w:eastAsia="zh-CN"/>
              </w:rPr>
            </w:pPr>
            <w:r>
              <w:rPr>
                <w:rFonts w:ascii="Times New Roman" w:hAnsi="Times New Roman" w:eastAsia="宋体" w:cs="Times New Roman"/>
                <w:color w:val="auto"/>
                <w:kern w:val="0"/>
                <w:sz w:val="20"/>
                <w:szCs w:val="24"/>
                <w:highlight w:val="none"/>
                <w:lang w:eastAsia="zh-CN"/>
              </w:rPr>
              <w:t>Option 1: Only the “fully shared Rx chain architecture” needs to be studied</w:t>
            </w:r>
          </w:p>
          <w:p>
            <w:pPr>
              <w:pStyle w:val="35"/>
              <w:keepNext/>
              <w:keepLines/>
              <w:pageBreakBefore w:val="0"/>
              <w:numPr>
                <w:ilvl w:val="1"/>
                <w:numId w:val="8"/>
              </w:numPr>
              <w:kinsoku/>
              <w:wordWrap/>
              <w:overflowPunct/>
              <w:topLinePunct w:val="0"/>
              <w:autoSpaceDE/>
              <w:autoSpaceDN/>
              <w:bidi w:val="0"/>
              <w:adjustRightInd/>
              <w:snapToGrid/>
              <w:spacing w:after="120" w:line="240" w:lineRule="atLeast"/>
              <w:ind w:firstLineChars="0"/>
              <w:textAlignment w:val="auto"/>
              <w:rPr>
                <w:rFonts w:ascii="Times New Roman" w:hAnsi="Times New Roman" w:eastAsia="宋体" w:cs="Times New Roman"/>
                <w:color w:val="auto"/>
                <w:kern w:val="0"/>
                <w:sz w:val="20"/>
                <w:szCs w:val="24"/>
                <w:highlight w:val="none"/>
                <w:lang w:eastAsia="zh-CN"/>
              </w:rPr>
            </w:pPr>
            <w:r>
              <w:rPr>
                <w:rFonts w:ascii="Times New Roman" w:hAnsi="Times New Roman" w:eastAsia="宋体" w:cs="Times New Roman"/>
                <w:color w:val="auto"/>
                <w:kern w:val="0"/>
                <w:sz w:val="20"/>
                <w:szCs w:val="24"/>
                <w:highlight w:val="none"/>
                <w:lang w:eastAsia="zh-CN"/>
              </w:rPr>
              <w:t>Option 2: RAN4 also studies the possibility of supporting only 2Rx in the mandatory 4Rx band below 2700MHz</w:t>
            </w:r>
          </w:p>
          <w:p>
            <w:pPr>
              <w:pStyle w:val="35"/>
              <w:keepNext/>
              <w:keepLines/>
              <w:pageBreakBefore w:val="0"/>
              <w:numPr>
                <w:ilvl w:val="1"/>
                <w:numId w:val="8"/>
              </w:numPr>
              <w:kinsoku/>
              <w:wordWrap/>
              <w:overflowPunct/>
              <w:topLinePunct w:val="0"/>
              <w:autoSpaceDE/>
              <w:autoSpaceDN/>
              <w:bidi w:val="0"/>
              <w:adjustRightInd/>
              <w:snapToGrid/>
              <w:spacing w:after="120" w:line="240" w:lineRule="atLeast"/>
              <w:ind w:firstLineChars="0"/>
              <w:textAlignment w:val="auto"/>
              <w:rPr>
                <w:rFonts w:ascii="Times New Roman" w:hAnsi="Times New Roman" w:eastAsia="宋体" w:cs="Times New Roman"/>
                <w:color w:val="auto"/>
                <w:kern w:val="0"/>
                <w:sz w:val="20"/>
                <w:szCs w:val="24"/>
                <w:highlight w:val="none"/>
                <w:lang w:eastAsia="zh-CN"/>
              </w:rPr>
            </w:pPr>
            <w:r>
              <w:rPr>
                <w:rFonts w:ascii="Times New Roman" w:hAnsi="Times New Roman" w:eastAsia="宋体" w:cs="Times New Roman"/>
                <w:color w:val="auto"/>
                <w:kern w:val="0"/>
                <w:sz w:val="20"/>
                <w:szCs w:val="24"/>
                <w:highlight w:val="none"/>
                <w:lang w:eastAsia="zh-CN"/>
              </w:rPr>
              <w:t>Other options are not precluded</w:t>
            </w:r>
          </w:p>
          <w:p>
            <w:pPr>
              <w:pStyle w:val="35"/>
              <w:keepNext/>
              <w:keepLines/>
              <w:pageBreakBefore w:val="0"/>
              <w:numPr>
                <w:ilvl w:val="0"/>
                <w:numId w:val="7"/>
              </w:numPr>
              <w:kinsoku/>
              <w:wordWrap/>
              <w:overflowPunct/>
              <w:topLinePunct w:val="0"/>
              <w:autoSpaceDE/>
              <w:autoSpaceDN/>
              <w:bidi w:val="0"/>
              <w:adjustRightInd/>
              <w:snapToGrid/>
              <w:spacing w:after="120" w:line="240" w:lineRule="atLeast"/>
              <w:ind w:left="720" w:firstLineChars="0"/>
              <w:textAlignment w:val="auto"/>
              <w:rPr>
                <w:rFonts w:ascii="Times New Roman" w:hAnsi="Times New Roman" w:eastAsia="宋体" w:cs="Times New Roman"/>
                <w:color w:val="auto"/>
                <w:kern w:val="0"/>
                <w:sz w:val="20"/>
                <w:szCs w:val="24"/>
                <w:highlight w:val="none"/>
                <w:lang w:eastAsia="zh-CN"/>
              </w:rPr>
            </w:pPr>
            <w:r>
              <w:rPr>
                <w:rFonts w:ascii="Times New Roman" w:hAnsi="Times New Roman" w:eastAsia="宋体" w:cs="Times New Roman"/>
                <w:color w:val="auto"/>
                <w:kern w:val="0"/>
                <w:sz w:val="20"/>
                <w:szCs w:val="24"/>
                <w:highlight w:val="none"/>
                <w:lang w:eastAsia="zh-CN"/>
              </w:rPr>
              <w:t>Companies are encouraged to provide baseband assumptions i.e., shared/separated BB filter that may relate to rejection ability toward unwanted signal for the study</w:t>
            </w:r>
          </w:p>
          <w:p>
            <w:pPr>
              <w:pStyle w:val="35"/>
              <w:keepNext/>
              <w:keepLines/>
              <w:pageBreakBefore w:val="0"/>
              <w:numPr>
                <w:ilvl w:val="0"/>
                <w:numId w:val="7"/>
              </w:numPr>
              <w:kinsoku/>
              <w:wordWrap/>
              <w:overflowPunct/>
              <w:topLinePunct w:val="0"/>
              <w:autoSpaceDE/>
              <w:autoSpaceDN/>
              <w:bidi w:val="0"/>
              <w:adjustRightInd/>
              <w:snapToGrid/>
              <w:spacing w:after="120" w:line="240" w:lineRule="atLeast"/>
              <w:ind w:firstLineChars="0"/>
              <w:textAlignment w:val="auto"/>
              <w:rPr>
                <w:rFonts w:hint="default" w:cs="Times New Roman"/>
                <w:color w:val="auto"/>
                <w:kern w:val="2"/>
                <w:sz w:val="20"/>
                <w:szCs w:val="20"/>
                <w:highlight w:val="none"/>
                <w:vertAlign w:val="baseline"/>
                <w:lang w:val="en-US" w:eastAsia="zh-CN" w:bidi="ar-SA"/>
              </w:rPr>
            </w:pPr>
            <w:r>
              <w:rPr>
                <w:rFonts w:ascii="Times New Roman" w:hAnsi="Times New Roman" w:eastAsia="宋体" w:cs="Times New Roman"/>
                <w:color w:val="auto"/>
                <w:kern w:val="0"/>
                <w:sz w:val="20"/>
                <w:szCs w:val="24"/>
                <w:highlight w:val="none"/>
                <w:lang w:eastAsia="zh-CN"/>
              </w:rPr>
              <w:t xml:space="preserve">FFS on whether a single FFT are expected to cover the fragmented carriers or separate FFT are expected for each fragmented carrier. </w:t>
            </w:r>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the option 2 above, it looks a bit wired since it seems not related to the SID objectives, and to our understanding, for a band mandatory support 4Rx, if it is allowed to support only 2Rx to save the Rx chain, the benefit and performance loss may need to be further discussion although there is a precedent for the non-collocated intra-band non-contiguous CA scenarios where each CC in type 2 UE is 2Rx. In this SID, one of the objectives mention </w:t>
      </w:r>
      <w:r>
        <w:rPr>
          <w:rFonts w:hint="default" w:cs="Times New Roman"/>
          <w:b w:val="0"/>
          <w:bCs w:val="0"/>
          <w:kern w:val="0"/>
          <w:sz w:val="20"/>
          <w:szCs w:val="20"/>
          <w:highlight w:val="none"/>
          <w:lang w:val="en-US" w:eastAsia="zh-CN"/>
        </w:rPr>
        <w:t>‘</w:t>
      </w:r>
      <w:r>
        <w:t xml:space="preserve">Up to 6 dB DL received power </w:t>
      </w:r>
      <w:r>
        <w:rPr>
          <w:rFonts w:hint="eastAsia" w:eastAsia="PMingLiU"/>
          <w:lang w:eastAsia="zh-TW"/>
        </w:rPr>
        <w:t>s</w:t>
      </w:r>
      <w:r>
        <w:rPr>
          <w:rFonts w:eastAsia="PMingLiU"/>
          <w:lang w:eastAsia="zh-TW"/>
        </w:rPr>
        <w:t>pectral density</w:t>
      </w:r>
      <w:r>
        <w:t xml:space="preserve"> imbalance between the two non-contiguous CCs</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 which means it should be collocation scenario.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Considering the above, we propose: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1: </w:t>
      </w:r>
      <w:r>
        <w:rPr>
          <w:rFonts w:ascii="Times New Roman" w:hAnsi="Times New Roman" w:eastAsia="宋体" w:cs="Times New Roman"/>
          <w:b/>
          <w:bCs/>
          <w:i/>
          <w:iCs/>
          <w:color w:val="auto"/>
          <w:kern w:val="0"/>
          <w:sz w:val="20"/>
          <w:szCs w:val="24"/>
          <w:highlight w:val="none"/>
          <w:lang w:eastAsia="zh-CN"/>
        </w:rPr>
        <w:t xml:space="preserve">Only the “fully shared </w:t>
      </w:r>
      <w:r>
        <w:rPr>
          <w:rFonts w:hint="eastAsia" w:cs="Times New Roman"/>
          <w:b/>
          <w:bCs/>
          <w:i/>
          <w:iCs/>
          <w:color w:val="auto"/>
          <w:kern w:val="0"/>
          <w:sz w:val="20"/>
          <w:szCs w:val="24"/>
          <w:highlight w:val="none"/>
          <w:lang w:val="en-US" w:eastAsia="zh-CN"/>
        </w:rPr>
        <w:t xml:space="preserve">RF </w:t>
      </w:r>
      <w:r>
        <w:rPr>
          <w:rFonts w:ascii="Times New Roman" w:hAnsi="Times New Roman" w:eastAsia="宋体" w:cs="Times New Roman"/>
          <w:b/>
          <w:bCs/>
          <w:i/>
          <w:iCs/>
          <w:color w:val="auto"/>
          <w:kern w:val="0"/>
          <w:sz w:val="20"/>
          <w:szCs w:val="24"/>
          <w:highlight w:val="none"/>
          <w:lang w:eastAsia="zh-CN"/>
        </w:rPr>
        <w:t>Rx chain architecture” needs to be studied</w:t>
      </w:r>
      <w:r>
        <w:rPr>
          <w:rFonts w:hint="eastAsia" w:cs="Times New Roman"/>
          <w:b/>
          <w:bCs/>
          <w:i/>
          <w:iCs/>
          <w:color w:val="auto"/>
          <w:kern w:val="0"/>
          <w:sz w:val="20"/>
          <w:szCs w:val="24"/>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the basedband assumption, here we think it should divide into analogy baseband (ABB) and digital baseband(DBB).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ABB assumption, it belongs to RF chain and since a common Rx RF chain method is used, so a single analogy baseband with wide filter to accommodate the two non-contiguous carrier/fragments within 100MHz separation at the same time.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For the DBB assumption, at least we think separate DBB is allowed for the in-gap interference/image rejection with different digital filter. At the same time, for the common DBB, it seems it is difficult to reject the in-gap interference/image using a common digital filter which may cause bad DL performance, depends on the in-gap interference. In our understanding, </w:t>
      </w:r>
      <w:r>
        <w:rPr>
          <w:rFonts w:hint="eastAsia"/>
          <w:sz w:val="20"/>
          <w:lang w:val="en-US" w:eastAsia="zh-CN"/>
        </w:rPr>
        <w:t>h</w:t>
      </w:r>
      <w:r>
        <w:rPr>
          <w:rFonts w:hint="eastAsia" w:cs="Times New Roman"/>
          <w:b w:val="0"/>
          <w:bCs w:val="0"/>
          <w:kern w:val="0"/>
          <w:sz w:val="20"/>
          <w:szCs w:val="20"/>
          <w:highlight w:val="none"/>
          <w:lang w:val="en-US" w:eastAsia="zh-CN"/>
        </w:rPr>
        <w:t>ow much the in-gap interference between different operators</w:t>
      </w:r>
      <w:r>
        <w:rPr>
          <w:rFonts w:hint="eastAsia"/>
          <w:sz w:val="20"/>
          <w:lang w:val="en-US" w:eastAsia="zh-CN"/>
        </w:rPr>
        <w:t xml:space="preserve"> seems it is highly implementation dependence. Maybe the in-gap interference level from operator A to operator B can keep in a certain low level which will not cause additional degradation. In this situation, a single DBB may still be feasible. Otherwise, separate DBB should be used for good blocker rejections.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whether to use a single FFT size, it depends on the SCS for each CC. The use of a common FFT to handle different SCS for each carrier is generally not straightforward in CA operation, and there are several challenges such as it is difficult and impractical to accommodate all different rates due to the OFDM length/CP length in time domain, sampling rates per symbol are different for different SCS. But of course, a single FFT size is feasible when the SCS for different carriers/</w:t>
      </w:r>
      <w:r>
        <w:rPr>
          <w:rFonts w:ascii="Times New Roman" w:hAnsi="Times New Roman" w:eastAsia="宋体" w:cs="Times New Roman"/>
          <w:color w:val="auto"/>
          <w:kern w:val="2"/>
          <w:sz w:val="20"/>
          <w:szCs w:val="20"/>
          <w:highlight w:val="none"/>
          <w:lang w:val="en-US" w:eastAsia="zh-CN" w:bidi="ar-SA"/>
        </w:rPr>
        <w:t>fragments</w:t>
      </w:r>
      <w:r>
        <w:rPr>
          <w:rFonts w:hint="eastAsia" w:cs="Times New Roman"/>
          <w:b w:val="0"/>
          <w:bCs w:val="0"/>
          <w:kern w:val="0"/>
          <w:sz w:val="20"/>
          <w:szCs w:val="20"/>
          <w:highlight w:val="none"/>
          <w:lang w:val="en-US" w:eastAsia="zh-CN"/>
        </w:rPr>
        <w:t xml:space="preserve"> are aligned.</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Considering the above, we propose: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2: A single analogy baseband is used to receive two non-contiguous CCs.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3: either single digital baseband or single digital baseband is feasible, depending on how much the in-gap interference between different operators.</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eastAsia"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 A single FFT size is feasible when the SCS for different fragments are aligned. Otherwise, separate FFT are expected .</w:t>
      </w:r>
    </w:p>
    <w:bookmarkEnd w:id="8"/>
    <w:bookmarkEnd w:id="9"/>
    <w:bookmarkEnd w:id="10"/>
    <w:bookmarkEnd w:id="11"/>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initial discussion on fragment carriers by reducing the Rx chain. The conclusions are summarized in the following:</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1: </w:t>
      </w:r>
      <w:r>
        <w:rPr>
          <w:rFonts w:ascii="Times New Roman" w:hAnsi="Times New Roman" w:eastAsia="宋体" w:cs="Times New Roman"/>
          <w:b/>
          <w:bCs/>
          <w:i/>
          <w:iCs/>
          <w:color w:val="auto"/>
          <w:kern w:val="0"/>
          <w:sz w:val="20"/>
          <w:szCs w:val="24"/>
          <w:highlight w:val="none"/>
          <w:lang w:eastAsia="zh-CN"/>
        </w:rPr>
        <w:t xml:space="preserve">Only the “fully shared </w:t>
      </w:r>
      <w:r>
        <w:rPr>
          <w:rFonts w:hint="eastAsia" w:cs="Times New Roman"/>
          <w:b/>
          <w:bCs/>
          <w:i/>
          <w:iCs/>
          <w:color w:val="auto"/>
          <w:kern w:val="0"/>
          <w:sz w:val="20"/>
          <w:szCs w:val="24"/>
          <w:highlight w:val="none"/>
          <w:lang w:val="en-US" w:eastAsia="zh-CN"/>
        </w:rPr>
        <w:t xml:space="preserve">RF </w:t>
      </w:r>
      <w:r>
        <w:rPr>
          <w:rFonts w:ascii="Times New Roman" w:hAnsi="Times New Roman" w:eastAsia="宋体" w:cs="Times New Roman"/>
          <w:b/>
          <w:bCs/>
          <w:i/>
          <w:iCs/>
          <w:color w:val="auto"/>
          <w:kern w:val="0"/>
          <w:sz w:val="20"/>
          <w:szCs w:val="24"/>
          <w:highlight w:val="none"/>
          <w:lang w:eastAsia="zh-CN"/>
        </w:rPr>
        <w:t>Rx chain architecture” needs to be studied</w:t>
      </w:r>
      <w:r>
        <w:rPr>
          <w:rFonts w:hint="eastAsia" w:cs="Times New Roman"/>
          <w:b/>
          <w:bCs/>
          <w:i/>
          <w:iCs/>
          <w:color w:val="auto"/>
          <w:kern w:val="0"/>
          <w:sz w:val="20"/>
          <w:szCs w:val="24"/>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2: A single analogy baseband is used to receive two non-contiguous CCs.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3: either single digital baseband or single digital baseband is feasible, depending on how much the in-gap interference between different operators.</w:t>
      </w:r>
    </w:p>
    <w:p>
      <w:pPr>
        <w:keepNext/>
        <w:keepLines/>
        <w:pageBreakBefore w:val="0"/>
        <w:widowControl w:val="0"/>
        <w:suppressLineNumbers w:val="0"/>
        <w:kinsoku/>
        <w:wordWrap/>
        <w:overflowPunct/>
        <w:topLinePunct w:val="0"/>
        <w:autoSpaceDE/>
        <w:autoSpaceDN/>
        <w:bidi w:val="0"/>
        <w:adjustRightInd/>
        <w:snapToGrid/>
        <w:ind w:leftChars="200"/>
        <w:jc w:val="left"/>
        <w:textAlignment w:val="auto"/>
        <w:rPr>
          <w:rFonts w:hint="eastAsia"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 A single FFT size is feasible when the SCS for different fragments are aligned. Otherwise, separate FFT are expected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"file:///D:\\RAN4%23112\\Docs\\R4-2412827.zip" </w:instrText>
      </w:r>
      <w:r>
        <w:rPr>
          <w:rFonts w:hint="eastAsia"/>
          <w:sz w:val="20"/>
          <w:szCs w:val="20"/>
          <w:lang w:val="en-US" w:eastAsia="zh-CN"/>
        </w:rPr>
        <w:fldChar w:fldCharType="separate"/>
      </w:r>
      <w:r>
        <w:rPr>
          <w:rFonts w:hint="eastAsia"/>
          <w:sz w:val="20"/>
          <w:szCs w:val="20"/>
          <w:lang w:val="en-US" w:eastAsia="zh-CN"/>
        </w:rPr>
        <w:t>R4-2412827</w:t>
      </w:r>
      <w:r>
        <w:rPr>
          <w:rFonts w:hint="eastAsia"/>
          <w:sz w:val="20"/>
          <w:szCs w:val="20"/>
          <w:lang w:val="en-US" w:eastAsia="zh-CN"/>
        </w:rPr>
        <w:fldChar w:fldCharType="end"/>
      </w:r>
      <w:r>
        <w:rPr>
          <w:rFonts w:hint="eastAsia"/>
          <w:sz w:val="20"/>
          <w:szCs w:val="20"/>
          <w:lang w:val="en-US" w:eastAsia="zh-CN"/>
        </w:rPr>
        <w:t>, Topic summary for [112][125] FS_NR_DL_Frag_Carrier, Mediatek</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"http://10.10.10.10/ftp/RAN/RAN4/Inbox/R4-2414457.zip" </w:instrText>
      </w:r>
      <w:r>
        <w:rPr>
          <w:rFonts w:hint="eastAsia"/>
          <w:sz w:val="20"/>
          <w:szCs w:val="20"/>
          <w:lang w:val="en-US" w:eastAsia="en-GB"/>
        </w:rPr>
        <w:fldChar w:fldCharType="separate"/>
      </w:r>
      <w:r>
        <w:rPr>
          <w:rFonts w:hint="eastAsia"/>
          <w:sz w:val="20"/>
          <w:szCs w:val="20"/>
          <w:lang w:val="en-US" w:eastAsia="en-GB"/>
        </w:rPr>
        <w:t>R4-2414457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fragmented DL</w:t>
      </w:r>
      <w:r>
        <w:rPr>
          <w:rFonts w:hint="eastAsia"/>
          <w:sz w:val="20"/>
          <w:szCs w:val="20"/>
          <w:lang w:val="en-US" w:eastAsia="zh-CN"/>
        </w:rPr>
        <w:t>, Mediatek</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beforeLines="0" w:afterLines="0" w:line="240" w:lineRule="auto"/>
        <w:jc w:val="left"/>
        <w:textAlignment w:val="auto"/>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47AD6F70"/>
    <w:multiLevelType w:val="multilevel"/>
    <w:tmpl w:val="47AD6F70"/>
    <w:lvl w:ilvl="0" w:tentative="0">
      <w:start w:val="1"/>
      <w:numFmt w:val="bullet"/>
      <w:lvlText w:val=""/>
      <w:lvlJc w:val="left"/>
      <w:pPr>
        <w:ind w:left="936" w:hanging="360"/>
      </w:pPr>
      <w:rPr>
        <w:rFonts w:hint="default" w:ascii="Symbol" w:hAnsi="Symbol"/>
        <w:lang w:val="en-GB"/>
      </w:rPr>
    </w:lvl>
    <w:lvl w:ilvl="1" w:tentative="0">
      <w:start w:val="3"/>
      <w:numFmt w:val="bullet"/>
      <w:lvlText w:val="-"/>
      <w:lvlJc w:val="left"/>
      <w:pPr>
        <w:ind w:left="1776" w:hanging="480"/>
      </w:pPr>
      <w:rPr>
        <w:rFonts w:hint="default" w:ascii="Times New Roman" w:hAnsi="Times New Roman" w:cs="Times New Roman" w:eastAsiaTheme="minorEastAsia"/>
        <w:lang w:val="en-GB"/>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3"/>
      <w:numFmt w:val="bullet"/>
      <w:lvlText w:val="-"/>
      <w:lvlJc w:val="left"/>
      <w:pPr>
        <w:ind w:left="1776" w:hanging="480"/>
      </w:pPr>
      <w:rPr>
        <w:rFonts w:hint="default" w:ascii="Times New Roman" w:hAnsi="Times New Roman" w:cs="Times New Roman" w:eastAsiaTheme="minorEastAsia"/>
        <w:lang w:val="en-GB"/>
      </w:rPr>
    </w:lvl>
    <w:lvl w:ilvl="2" w:tentative="0">
      <w:start w:val="3"/>
      <w:numFmt w:val="bullet"/>
      <w:lvlText w:val="-"/>
      <w:lvlJc w:val="left"/>
      <w:pPr>
        <w:ind w:left="2496" w:hanging="480"/>
      </w:pPr>
      <w:rPr>
        <w:rFonts w:hint="default" w:ascii="Times New Roman" w:hAnsi="Times New Roman" w:cs="Times New Roman" w:eastAsiaTheme="minorEastAsia"/>
        <w:lang w:val="en-GB"/>
      </w:rPr>
    </w:lvl>
    <w:lvl w:ilvl="3" w:tentative="0">
      <w:start w:val="5"/>
      <w:numFmt w:val="bullet"/>
      <w:lvlText w:val="-"/>
      <w:lvlJc w:val="left"/>
      <w:pPr>
        <w:ind w:left="3216" w:hanging="480"/>
      </w:pPr>
      <w:rPr>
        <w:rFonts w:hint="default" w:ascii="Times New Roman" w:hAnsi="Times New Roman" w:eastAsia="Times New Roman"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A0623"/>
    <w:rsid w:val="014C67F3"/>
    <w:rsid w:val="01536583"/>
    <w:rsid w:val="01572FC3"/>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E2663"/>
    <w:rsid w:val="01FB366B"/>
    <w:rsid w:val="01FD3930"/>
    <w:rsid w:val="020307DB"/>
    <w:rsid w:val="02036722"/>
    <w:rsid w:val="02117CDB"/>
    <w:rsid w:val="021B7C87"/>
    <w:rsid w:val="021E522C"/>
    <w:rsid w:val="022D4A6E"/>
    <w:rsid w:val="023B0A39"/>
    <w:rsid w:val="023C78A7"/>
    <w:rsid w:val="02444B7E"/>
    <w:rsid w:val="02445A3F"/>
    <w:rsid w:val="024929E9"/>
    <w:rsid w:val="024B023C"/>
    <w:rsid w:val="024D6B6A"/>
    <w:rsid w:val="02510B5E"/>
    <w:rsid w:val="02566C17"/>
    <w:rsid w:val="025F524E"/>
    <w:rsid w:val="02610521"/>
    <w:rsid w:val="02650658"/>
    <w:rsid w:val="026855D2"/>
    <w:rsid w:val="027275A1"/>
    <w:rsid w:val="027371D9"/>
    <w:rsid w:val="0276366F"/>
    <w:rsid w:val="027F646E"/>
    <w:rsid w:val="028C4EAA"/>
    <w:rsid w:val="028F6D4C"/>
    <w:rsid w:val="0291553A"/>
    <w:rsid w:val="029A69A7"/>
    <w:rsid w:val="029B04E7"/>
    <w:rsid w:val="02A64DF3"/>
    <w:rsid w:val="02BB5A8C"/>
    <w:rsid w:val="02C2332C"/>
    <w:rsid w:val="02DC3F9C"/>
    <w:rsid w:val="02DC73AA"/>
    <w:rsid w:val="02E015BB"/>
    <w:rsid w:val="02F12CE4"/>
    <w:rsid w:val="0300135A"/>
    <w:rsid w:val="03073BDC"/>
    <w:rsid w:val="030B0647"/>
    <w:rsid w:val="030C40C1"/>
    <w:rsid w:val="03151C1F"/>
    <w:rsid w:val="03206AD1"/>
    <w:rsid w:val="032E1D49"/>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587CAC"/>
    <w:rsid w:val="04684A28"/>
    <w:rsid w:val="04685237"/>
    <w:rsid w:val="04782230"/>
    <w:rsid w:val="0479507E"/>
    <w:rsid w:val="04820023"/>
    <w:rsid w:val="048859D4"/>
    <w:rsid w:val="04894975"/>
    <w:rsid w:val="04B14B03"/>
    <w:rsid w:val="04B93BF5"/>
    <w:rsid w:val="04C21954"/>
    <w:rsid w:val="04DA1A87"/>
    <w:rsid w:val="04DE2DA3"/>
    <w:rsid w:val="04FF1C94"/>
    <w:rsid w:val="04FF7D5A"/>
    <w:rsid w:val="0502349F"/>
    <w:rsid w:val="05047ADF"/>
    <w:rsid w:val="05060F0D"/>
    <w:rsid w:val="050E7487"/>
    <w:rsid w:val="051126EC"/>
    <w:rsid w:val="05161D2D"/>
    <w:rsid w:val="0522500E"/>
    <w:rsid w:val="052E568F"/>
    <w:rsid w:val="053973F0"/>
    <w:rsid w:val="053E65E7"/>
    <w:rsid w:val="0555228E"/>
    <w:rsid w:val="055C5454"/>
    <w:rsid w:val="05601265"/>
    <w:rsid w:val="05770104"/>
    <w:rsid w:val="057D1D66"/>
    <w:rsid w:val="059D265F"/>
    <w:rsid w:val="05B245FF"/>
    <w:rsid w:val="05B2756C"/>
    <w:rsid w:val="05B92EC1"/>
    <w:rsid w:val="05D03328"/>
    <w:rsid w:val="05D73593"/>
    <w:rsid w:val="05E078B3"/>
    <w:rsid w:val="0601277E"/>
    <w:rsid w:val="060B1D8E"/>
    <w:rsid w:val="060C5AED"/>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147814"/>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4E1401"/>
    <w:rsid w:val="085C7468"/>
    <w:rsid w:val="086F6B40"/>
    <w:rsid w:val="08787FF0"/>
    <w:rsid w:val="0889002B"/>
    <w:rsid w:val="088E1335"/>
    <w:rsid w:val="08917469"/>
    <w:rsid w:val="08A44DA6"/>
    <w:rsid w:val="08AA245A"/>
    <w:rsid w:val="08BA6E24"/>
    <w:rsid w:val="08BE26EC"/>
    <w:rsid w:val="08C562FD"/>
    <w:rsid w:val="08CA27B1"/>
    <w:rsid w:val="08E916DF"/>
    <w:rsid w:val="08FC0AA5"/>
    <w:rsid w:val="090165D1"/>
    <w:rsid w:val="09066782"/>
    <w:rsid w:val="09127E2C"/>
    <w:rsid w:val="091619F5"/>
    <w:rsid w:val="09306537"/>
    <w:rsid w:val="09355076"/>
    <w:rsid w:val="09392119"/>
    <w:rsid w:val="09445E95"/>
    <w:rsid w:val="09543B3B"/>
    <w:rsid w:val="09600FBD"/>
    <w:rsid w:val="096D5B06"/>
    <w:rsid w:val="096F346B"/>
    <w:rsid w:val="098143BC"/>
    <w:rsid w:val="09A64164"/>
    <w:rsid w:val="09B236ED"/>
    <w:rsid w:val="09B3627A"/>
    <w:rsid w:val="09BD407A"/>
    <w:rsid w:val="09DA0E26"/>
    <w:rsid w:val="09E5569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60853"/>
    <w:rsid w:val="0A4E6531"/>
    <w:rsid w:val="0A646846"/>
    <w:rsid w:val="0A9B1B16"/>
    <w:rsid w:val="0A9D2D7E"/>
    <w:rsid w:val="0A9E3D3D"/>
    <w:rsid w:val="0AA077E0"/>
    <w:rsid w:val="0AC0212C"/>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514A22"/>
    <w:rsid w:val="0B561995"/>
    <w:rsid w:val="0B5C2C2A"/>
    <w:rsid w:val="0B665E0A"/>
    <w:rsid w:val="0B6A2D95"/>
    <w:rsid w:val="0B6D0037"/>
    <w:rsid w:val="0B7B7DE4"/>
    <w:rsid w:val="0B8436DD"/>
    <w:rsid w:val="0B847B39"/>
    <w:rsid w:val="0B965B25"/>
    <w:rsid w:val="0B9E71DF"/>
    <w:rsid w:val="0BB524B8"/>
    <w:rsid w:val="0BC13973"/>
    <w:rsid w:val="0BC22C8E"/>
    <w:rsid w:val="0BC63DB2"/>
    <w:rsid w:val="0BCA64FF"/>
    <w:rsid w:val="0BCC4043"/>
    <w:rsid w:val="0BCC4B6A"/>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DE4E9F"/>
    <w:rsid w:val="0CE26C42"/>
    <w:rsid w:val="0CE76B48"/>
    <w:rsid w:val="0CF62FDB"/>
    <w:rsid w:val="0CFB523A"/>
    <w:rsid w:val="0D226E9B"/>
    <w:rsid w:val="0D3F09CA"/>
    <w:rsid w:val="0D4B44A1"/>
    <w:rsid w:val="0D5A3E80"/>
    <w:rsid w:val="0D6E2620"/>
    <w:rsid w:val="0D704E21"/>
    <w:rsid w:val="0D7F48FE"/>
    <w:rsid w:val="0D824417"/>
    <w:rsid w:val="0D883C88"/>
    <w:rsid w:val="0D92310D"/>
    <w:rsid w:val="0D960D3E"/>
    <w:rsid w:val="0D966BF7"/>
    <w:rsid w:val="0DCC3AE8"/>
    <w:rsid w:val="0DD87842"/>
    <w:rsid w:val="0DE103EB"/>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BA15CD"/>
    <w:rsid w:val="0EC1579C"/>
    <w:rsid w:val="0ECA331A"/>
    <w:rsid w:val="0ECB4993"/>
    <w:rsid w:val="0ECD6CC6"/>
    <w:rsid w:val="0ED01D5F"/>
    <w:rsid w:val="0ED50DDE"/>
    <w:rsid w:val="0EDC0FE7"/>
    <w:rsid w:val="0EDD1744"/>
    <w:rsid w:val="0EE525BE"/>
    <w:rsid w:val="0EEC6F1D"/>
    <w:rsid w:val="0EF006B7"/>
    <w:rsid w:val="0EFE0728"/>
    <w:rsid w:val="0F0229D0"/>
    <w:rsid w:val="0F040FDD"/>
    <w:rsid w:val="0F103291"/>
    <w:rsid w:val="0F18065D"/>
    <w:rsid w:val="0F1D498B"/>
    <w:rsid w:val="0F337178"/>
    <w:rsid w:val="0F3A1695"/>
    <w:rsid w:val="0F41022A"/>
    <w:rsid w:val="0F575BC9"/>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D70565"/>
    <w:rsid w:val="0FEC680C"/>
    <w:rsid w:val="0FFD5040"/>
    <w:rsid w:val="10007AD6"/>
    <w:rsid w:val="100E19D0"/>
    <w:rsid w:val="101C4A03"/>
    <w:rsid w:val="101D0C86"/>
    <w:rsid w:val="101D4F1D"/>
    <w:rsid w:val="10227809"/>
    <w:rsid w:val="10240BF3"/>
    <w:rsid w:val="104A023B"/>
    <w:rsid w:val="10505F3B"/>
    <w:rsid w:val="105523FF"/>
    <w:rsid w:val="105D5531"/>
    <w:rsid w:val="1061732E"/>
    <w:rsid w:val="106D2686"/>
    <w:rsid w:val="106F0E5F"/>
    <w:rsid w:val="107A10FC"/>
    <w:rsid w:val="107C3E2C"/>
    <w:rsid w:val="107D41AE"/>
    <w:rsid w:val="108C2479"/>
    <w:rsid w:val="109A6911"/>
    <w:rsid w:val="10A81377"/>
    <w:rsid w:val="10B80E65"/>
    <w:rsid w:val="10C02B10"/>
    <w:rsid w:val="10C715C5"/>
    <w:rsid w:val="10D335EF"/>
    <w:rsid w:val="10E746EA"/>
    <w:rsid w:val="10E83FE0"/>
    <w:rsid w:val="10EC3168"/>
    <w:rsid w:val="10F52718"/>
    <w:rsid w:val="110B6252"/>
    <w:rsid w:val="110E6D34"/>
    <w:rsid w:val="1116627D"/>
    <w:rsid w:val="112E3E1C"/>
    <w:rsid w:val="112F02E7"/>
    <w:rsid w:val="114028DC"/>
    <w:rsid w:val="116A5175"/>
    <w:rsid w:val="116F1EB0"/>
    <w:rsid w:val="11765ED8"/>
    <w:rsid w:val="117B1D6A"/>
    <w:rsid w:val="117C2D9D"/>
    <w:rsid w:val="117F159E"/>
    <w:rsid w:val="11821DC9"/>
    <w:rsid w:val="118273C5"/>
    <w:rsid w:val="11921373"/>
    <w:rsid w:val="119C45DF"/>
    <w:rsid w:val="119D7849"/>
    <w:rsid w:val="11A61449"/>
    <w:rsid w:val="11B423B2"/>
    <w:rsid w:val="11C67B8F"/>
    <w:rsid w:val="11CE017F"/>
    <w:rsid w:val="11DD31CB"/>
    <w:rsid w:val="11E57D4F"/>
    <w:rsid w:val="11F92DAB"/>
    <w:rsid w:val="11FC38D5"/>
    <w:rsid w:val="12035CB0"/>
    <w:rsid w:val="1210682D"/>
    <w:rsid w:val="121563D9"/>
    <w:rsid w:val="122449D0"/>
    <w:rsid w:val="12286C59"/>
    <w:rsid w:val="122C5C28"/>
    <w:rsid w:val="123800F8"/>
    <w:rsid w:val="123A05DB"/>
    <w:rsid w:val="124240B9"/>
    <w:rsid w:val="1243122A"/>
    <w:rsid w:val="12531C9B"/>
    <w:rsid w:val="12561BF0"/>
    <w:rsid w:val="125A117D"/>
    <w:rsid w:val="12680E73"/>
    <w:rsid w:val="127701EE"/>
    <w:rsid w:val="127E5AA6"/>
    <w:rsid w:val="128071C7"/>
    <w:rsid w:val="12893E38"/>
    <w:rsid w:val="128B2749"/>
    <w:rsid w:val="12971339"/>
    <w:rsid w:val="129811DB"/>
    <w:rsid w:val="1299232C"/>
    <w:rsid w:val="12AB7A32"/>
    <w:rsid w:val="12AE5F35"/>
    <w:rsid w:val="12B465F3"/>
    <w:rsid w:val="12BB6535"/>
    <w:rsid w:val="12BF5B84"/>
    <w:rsid w:val="12C54464"/>
    <w:rsid w:val="12C7312B"/>
    <w:rsid w:val="12D14417"/>
    <w:rsid w:val="12D20C30"/>
    <w:rsid w:val="12D22971"/>
    <w:rsid w:val="12D85654"/>
    <w:rsid w:val="12DA5D22"/>
    <w:rsid w:val="12EE5106"/>
    <w:rsid w:val="13024DF8"/>
    <w:rsid w:val="1303438D"/>
    <w:rsid w:val="1307341C"/>
    <w:rsid w:val="130E3629"/>
    <w:rsid w:val="13136909"/>
    <w:rsid w:val="131B39DD"/>
    <w:rsid w:val="131C5EAA"/>
    <w:rsid w:val="13246C2D"/>
    <w:rsid w:val="13283BA4"/>
    <w:rsid w:val="13332F77"/>
    <w:rsid w:val="13334E1C"/>
    <w:rsid w:val="13346EE4"/>
    <w:rsid w:val="13384952"/>
    <w:rsid w:val="1355107F"/>
    <w:rsid w:val="135D4D2E"/>
    <w:rsid w:val="1361635E"/>
    <w:rsid w:val="1366638D"/>
    <w:rsid w:val="136D76E8"/>
    <w:rsid w:val="137266E0"/>
    <w:rsid w:val="13A938D2"/>
    <w:rsid w:val="13AA5FA1"/>
    <w:rsid w:val="13C20262"/>
    <w:rsid w:val="13C36EB4"/>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A1DD6"/>
    <w:rsid w:val="144A28D0"/>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60B42"/>
    <w:rsid w:val="14EA1C4D"/>
    <w:rsid w:val="14ED662C"/>
    <w:rsid w:val="14F447EE"/>
    <w:rsid w:val="1515004B"/>
    <w:rsid w:val="15207BBA"/>
    <w:rsid w:val="152E361E"/>
    <w:rsid w:val="152F4E1B"/>
    <w:rsid w:val="153E164C"/>
    <w:rsid w:val="154D342A"/>
    <w:rsid w:val="15504F07"/>
    <w:rsid w:val="1559587F"/>
    <w:rsid w:val="1574662E"/>
    <w:rsid w:val="15751882"/>
    <w:rsid w:val="1575191B"/>
    <w:rsid w:val="157818C6"/>
    <w:rsid w:val="159F73BB"/>
    <w:rsid w:val="15B03F28"/>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C444D"/>
    <w:rsid w:val="168F69F2"/>
    <w:rsid w:val="16916CB7"/>
    <w:rsid w:val="169C7FDE"/>
    <w:rsid w:val="16A4319F"/>
    <w:rsid w:val="16AC4DDB"/>
    <w:rsid w:val="16AE2FE3"/>
    <w:rsid w:val="16B4400E"/>
    <w:rsid w:val="16BB694C"/>
    <w:rsid w:val="16BD0D3D"/>
    <w:rsid w:val="16BD5355"/>
    <w:rsid w:val="16C739DF"/>
    <w:rsid w:val="16D614D6"/>
    <w:rsid w:val="16DD3B26"/>
    <w:rsid w:val="16EB6E00"/>
    <w:rsid w:val="16F1492D"/>
    <w:rsid w:val="16F9473B"/>
    <w:rsid w:val="16FD2447"/>
    <w:rsid w:val="1707609C"/>
    <w:rsid w:val="170A651D"/>
    <w:rsid w:val="1712339A"/>
    <w:rsid w:val="171B5478"/>
    <w:rsid w:val="171E63FC"/>
    <w:rsid w:val="1722504D"/>
    <w:rsid w:val="172562BF"/>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73278"/>
    <w:rsid w:val="17B92501"/>
    <w:rsid w:val="17D47866"/>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25229"/>
    <w:rsid w:val="18853F3E"/>
    <w:rsid w:val="188A0A21"/>
    <w:rsid w:val="18956393"/>
    <w:rsid w:val="1896279D"/>
    <w:rsid w:val="18A8582C"/>
    <w:rsid w:val="18B50543"/>
    <w:rsid w:val="18CD7A02"/>
    <w:rsid w:val="18D97A56"/>
    <w:rsid w:val="18DC65B5"/>
    <w:rsid w:val="18F621ED"/>
    <w:rsid w:val="19001FFC"/>
    <w:rsid w:val="190E2B4A"/>
    <w:rsid w:val="19147620"/>
    <w:rsid w:val="19256D7A"/>
    <w:rsid w:val="193275C2"/>
    <w:rsid w:val="19394FD2"/>
    <w:rsid w:val="193E37E1"/>
    <w:rsid w:val="194B2B2B"/>
    <w:rsid w:val="195B59A7"/>
    <w:rsid w:val="195F3A6C"/>
    <w:rsid w:val="19663168"/>
    <w:rsid w:val="19767855"/>
    <w:rsid w:val="19786B0A"/>
    <w:rsid w:val="199A2059"/>
    <w:rsid w:val="19A40C28"/>
    <w:rsid w:val="19B46E10"/>
    <w:rsid w:val="19C456C1"/>
    <w:rsid w:val="19C64218"/>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B745F7"/>
    <w:rsid w:val="1AC04FC0"/>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60AC2"/>
    <w:rsid w:val="1B9C269A"/>
    <w:rsid w:val="1B9E64C5"/>
    <w:rsid w:val="1BBE493C"/>
    <w:rsid w:val="1BC01115"/>
    <w:rsid w:val="1BC36606"/>
    <w:rsid w:val="1BC44015"/>
    <w:rsid w:val="1BCA6284"/>
    <w:rsid w:val="1BF006BF"/>
    <w:rsid w:val="1C013494"/>
    <w:rsid w:val="1C053414"/>
    <w:rsid w:val="1C0C6675"/>
    <w:rsid w:val="1C132CB9"/>
    <w:rsid w:val="1C273D33"/>
    <w:rsid w:val="1C3B3861"/>
    <w:rsid w:val="1C4032AB"/>
    <w:rsid w:val="1C4672ED"/>
    <w:rsid w:val="1C467AB6"/>
    <w:rsid w:val="1C5207A8"/>
    <w:rsid w:val="1C6277A9"/>
    <w:rsid w:val="1C724E93"/>
    <w:rsid w:val="1C7F54CE"/>
    <w:rsid w:val="1C7F743F"/>
    <w:rsid w:val="1C8A35E0"/>
    <w:rsid w:val="1C8C4AA9"/>
    <w:rsid w:val="1C8C604B"/>
    <w:rsid w:val="1C92160B"/>
    <w:rsid w:val="1C973EEF"/>
    <w:rsid w:val="1CA03243"/>
    <w:rsid w:val="1CAF5DB2"/>
    <w:rsid w:val="1CB26D23"/>
    <w:rsid w:val="1CB61741"/>
    <w:rsid w:val="1CCA25A4"/>
    <w:rsid w:val="1CCB34A2"/>
    <w:rsid w:val="1CCC26CA"/>
    <w:rsid w:val="1CD2156B"/>
    <w:rsid w:val="1CD41743"/>
    <w:rsid w:val="1CD44D3D"/>
    <w:rsid w:val="1CD53D0D"/>
    <w:rsid w:val="1CD63402"/>
    <w:rsid w:val="1CE615C9"/>
    <w:rsid w:val="1CEA29EF"/>
    <w:rsid w:val="1CF03A17"/>
    <w:rsid w:val="1CF34BDB"/>
    <w:rsid w:val="1D037029"/>
    <w:rsid w:val="1D04702B"/>
    <w:rsid w:val="1D3305FF"/>
    <w:rsid w:val="1D395282"/>
    <w:rsid w:val="1D413348"/>
    <w:rsid w:val="1D5F5386"/>
    <w:rsid w:val="1D7072CE"/>
    <w:rsid w:val="1D92018E"/>
    <w:rsid w:val="1D9E30A9"/>
    <w:rsid w:val="1DAA059B"/>
    <w:rsid w:val="1DAB1006"/>
    <w:rsid w:val="1DB33C11"/>
    <w:rsid w:val="1DC65562"/>
    <w:rsid w:val="1DC9680E"/>
    <w:rsid w:val="1DD32F44"/>
    <w:rsid w:val="1DE94164"/>
    <w:rsid w:val="1DE94821"/>
    <w:rsid w:val="1DEA459C"/>
    <w:rsid w:val="1DEE1B11"/>
    <w:rsid w:val="1DEE780F"/>
    <w:rsid w:val="1E164B52"/>
    <w:rsid w:val="1E273844"/>
    <w:rsid w:val="1E2B6CB1"/>
    <w:rsid w:val="1E2F243E"/>
    <w:rsid w:val="1E455D19"/>
    <w:rsid w:val="1E55213F"/>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4E511E"/>
    <w:rsid w:val="1F4F2219"/>
    <w:rsid w:val="1F721405"/>
    <w:rsid w:val="1F852C7F"/>
    <w:rsid w:val="1F887E80"/>
    <w:rsid w:val="1F935819"/>
    <w:rsid w:val="1FA6556D"/>
    <w:rsid w:val="1FA92D3B"/>
    <w:rsid w:val="1FAF2571"/>
    <w:rsid w:val="1FC55EDA"/>
    <w:rsid w:val="1FCE593C"/>
    <w:rsid w:val="1FE312AC"/>
    <w:rsid w:val="1FEC5915"/>
    <w:rsid w:val="1FED32EF"/>
    <w:rsid w:val="201E3878"/>
    <w:rsid w:val="20350C87"/>
    <w:rsid w:val="20446081"/>
    <w:rsid w:val="204852AD"/>
    <w:rsid w:val="204E6676"/>
    <w:rsid w:val="205A5AA0"/>
    <w:rsid w:val="20773A28"/>
    <w:rsid w:val="208574F4"/>
    <w:rsid w:val="208E0979"/>
    <w:rsid w:val="208F6BAF"/>
    <w:rsid w:val="209C24BD"/>
    <w:rsid w:val="20A462BA"/>
    <w:rsid w:val="20A976E7"/>
    <w:rsid w:val="20AB4ADC"/>
    <w:rsid w:val="20AC7E9E"/>
    <w:rsid w:val="20BB50D0"/>
    <w:rsid w:val="20BF2AAC"/>
    <w:rsid w:val="20C849C7"/>
    <w:rsid w:val="20D07F44"/>
    <w:rsid w:val="20DF66D2"/>
    <w:rsid w:val="20E976FD"/>
    <w:rsid w:val="20EC3F2E"/>
    <w:rsid w:val="20EC7C3E"/>
    <w:rsid w:val="210548E9"/>
    <w:rsid w:val="2107210D"/>
    <w:rsid w:val="21124D15"/>
    <w:rsid w:val="21296345"/>
    <w:rsid w:val="213E4D66"/>
    <w:rsid w:val="213E7119"/>
    <w:rsid w:val="21800B85"/>
    <w:rsid w:val="21810744"/>
    <w:rsid w:val="218D6EF5"/>
    <w:rsid w:val="2195668B"/>
    <w:rsid w:val="219D0E63"/>
    <w:rsid w:val="21A130EA"/>
    <w:rsid w:val="21A64442"/>
    <w:rsid w:val="21B222BC"/>
    <w:rsid w:val="21BD09D7"/>
    <w:rsid w:val="21C267BF"/>
    <w:rsid w:val="21CD6BCD"/>
    <w:rsid w:val="21CE6067"/>
    <w:rsid w:val="21CF439A"/>
    <w:rsid w:val="21ED3089"/>
    <w:rsid w:val="21EF1937"/>
    <w:rsid w:val="21F00127"/>
    <w:rsid w:val="22045B97"/>
    <w:rsid w:val="2218222D"/>
    <w:rsid w:val="221D2FA3"/>
    <w:rsid w:val="22247705"/>
    <w:rsid w:val="2226635F"/>
    <w:rsid w:val="222D4F0B"/>
    <w:rsid w:val="223D7545"/>
    <w:rsid w:val="22411D14"/>
    <w:rsid w:val="22423BE1"/>
    <w:rsid w:val="22454449"/>
    <w:rsid w:val="22500810"/>
    <w:rsid w:val="22550F14"/>
    <w:rsid w:val="226347BD"/>
    <w:rsid w:val="22682935"/>
    <w:rsid w:val="226F564C"/>
    <w:rsid w:val="22714CE9"/>
    <w:rsid w:val="2277260F"/>
    <w:rsid w:val="227C7BE1"/>
    <w:rsid w:val="228A4698"/>
    <w:rsid w:val="228D7F55"/>
    <w:rsid w:val="22945167"/>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6618"/>
    <w:rsid w:val="236F5E31"/>
    <w:rsid w:val="236F7F8E"/>
    <w:rsid w:val="237D3B26"/>
    <w:rsid w:val="23816932"/>
    <w:rsid w:val="23A22D26"/>
    <w:rsid w:val="23A9484E"/>
    <w:rsid w:val="23AF669C"/>
    <w:rsid w:val="23B32F98"/>
    <w:rsid w:val="23B84268"/>
    <w:rsid w:val="23D03C50"/>
    <w:rsid w:val="23D17D7B"/>
    <w:rsid w:val="23D36D91"/>
    <w:rsid w:val="23D6056F"/>
    <w:rsid w:val="23DF4009"/>
    <w:rsid w:val="23EA25D3"/>
    <w:rsid w:val="23F70BA5"/>
    <w:rsid w:val="23F93D0D"/>
    <w:rsid w:val="2405417E"/>
    <w:rsid w:val="241B5C62"/>
    <w:rsid w:val="241D144D"/>
    <w:rsid w:val="242005F6"/>
    <w:rsid w:val="24553E8F"/>
    <w:rsid w:val="245872F9"/>
    <w:rsid w:val="245943D9"/>
    <w:rsid w:val="245D2237"/>
    <w:rsid w:val="245E6B64"/>
    <w:rsid w:val="2463385E"/>
    <w:rsid w:val="247B61EF"/>
    <w:rsid w:val="247F0848"/>
    <w:rsid w:val="248A1E01"/>
    <w:rsid w:val="24967323"/>
    <w:rsid w:val="249D5FC8"/>
    <w:rsid w:val="24A1538E"/>
    <w:rsid w:val="24A34F2A"/>
    <w:rsid w:val="24B9450F"/>
    <w:rsid w:val="24C83F94"/>
    <w:rsid w:val="24D706EC"/>
    <w:rsid w:val="24F60CDA"/>
    <w:rsid w:val="24FE1078"/>
    <w:rsid w:val="250B4793"/>
    <w:rsid w:val="250C0C1F"/>
    <w:rsid w:val="250D450C"/>
    <w:rsid w:val="25134332"/>
    <w:rsid w:val="25141A5B"/>
    <w:rsid w:val="2521546A"/>
    <w:rsid w:val="25225B0E"/>
    <w:rsid w:val="252B49E0"/>
    <w:rsid w:val="253A7D4E"/>
    <w:rsid w:val="253B247A"/>
    <w:rsid w:val="25655CFE"/>
    <w:rsid w:val="25734B61"/>
    <w:rsid w:val="257F0513"/>
    <w:rsid w:val="258F6BC4"/>
    <w:rsid w:val="25975923"/>
    <w:rsid w:val="259A3D0A"/>
    <w:rsid w:val="25A95F3E"/>
    <w:rsid w:val="25BD0013"/>
    <w:rsid w:val="25BF6041"/>
    <w:rsid w:val="25C35718"/>
    <w:rsid w:val="25C61809"/>
    <w:rsid w:val="25CF0252"/>
    <w:rsid w:val="25D0248E"/>
    <w:rsid w:val="25D52D1D"/>
    <w:rsid w:val="25F81D70"/>
    <w:rsid w:val="25FB5636"/>
    <w:rsid w:val="25FE58A9"/>
    <w:rsid w:val="26070462"/>
    <w:rsid w:val="260D2C45"/>
    <w:rsid w:val="26197DFF"/>
    <w:rsid w:val="26283D73"/>
    <w:rsid w:val="262E1DA8"/>
    <w:rsid w:val="262F0AD0"/>
    <w:rsid w:val="26395C92"/>
    <w:rsid w:val="26484954"/>
    <w:rsid w:val="266237C3"/>
    <w:rsid w:val="26651F80"/>
    <w:rsid w:val="26671392"/>
    <w:rsid w:val="267031B7"/>
    <w:rsid w:val="2675115E"/>
    <w:rsid w:val="267550B9"/>
    <w:rsid w:val="267A4B30"/>
    <w:rsid w:val="26B6759D"/>
    <w:rsid w:val="26C472EC"/>
    <w:rsid w:val="26D97CAE"/>
    <w:rsid w:val="26EC491A"/>
    <w:rsid w:val="26ED73E1"/>
    <w:rsid w:val="27047832"/>
    <w:rsid w:val="27204B5D"/>
    <w:rsid w:val="272F31A0"/>
    <w:rsid w:val="27342901"/>
    <w:rsid w:val="27383740"/>
    <w:rsid w:val="273D2762"/>
    <w:rsid w:val="27470B72"/>
    <w:rsid w:val="27525E32"/>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1603B0"/>
    <w:rsid w:val="281F4F67"/>
    <w:rsid w:val="283744B4"/>
    <w:rsid w:val="28485D62"/>
    <w:rsid w:val="285560D7"/>
    <w:rsid w:val="28760CA0"/>
    <w:rsid w:val="288A05DD"/>
    <w:rsid w:val="28937D89"/>
    <w:rsid w:val="28C96C14"/>
    <w:rsid w:val="28E138E3"/>
    <w:rsid w:val="28E25FF0"/>
    <w:rsid w:val="28E74216"/>
    <w:rsid w:val="28E87EE4"/>
    <w:rsid w:val="28E9010A"/>
    <w:rsid w:val="28FC4395"/>
    <w:rsid w:val="2903396A"/>
    <w:rsid w:val="290A3B15"/>
    <w:rsid w:val="291C1880"/>
    <w:rsid w:val="29212936"/>
    <w:rsid w:val="294E766A"/>
    <w:rsid w:val="294F506D"/>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1640AA"/>
    <w:rsid w:val="2A23469B"/>
    <w:rsid w:val="2A35650F"/>
    <w:rsid w:val="2A405845"/>
    <w:rsid w:val="2A4D593F"/>
    <w:rsid w:val="2A5645FE"/>
    <w:rsid w:val="2A6920F5"/>
    <w:rsid w:val="2A6E31F8"/>
    <w:rsid w:val="2A8A2F9C"/>
    <w:rsid w:val="2A9A0A02"/>
    <w:rsid w:val="2AA077A9"/>
    <w:rsid w:val="2AA47476"/>
    <w:rsid w:val="2AA84680"/>
    <w:rsid w:val="2AA95326"/>
    <w:rsid w:val="2AAC5A06"/>
    <w:rsid w:val="2ABB3D6F"/>
    <w:rsid w:val="2AC70B30"/>
    <w:rsid w:val="2ACC2AAF"/>
    <w:rsid w:val="2AD74744"/>
    <w:rsid w:val="2AD91AC2"/>
    <w:rsid w:val="2AE57C95"/>
    <w:rsid w:val="2AF35C8B"/>
    <w:rsid w:val="2AFC7C8A"/>
    <w:rsid w:val="2B011AE9"/>
    <w:rsid w:val="2B0279D1"/>
    <w:rsid w:val="2B132265"/>
    <w:rsid w:val="2B1D1F04"/>
    <w:rsid w:val="2B214776"/>
    <w:rsid w:val="2B2843BE"/>
    <w:rsid w:val="2B2C240A"/>
    <w:rsid w:val="2B313FC1"/>
    <w:rsid w:val="2B347C14"/>
    <w:rsid w:val="2B39348E"/>
    <w:rsid w:val="2B437285"/>
    <w:rsid w:val="2B4D695C"/>
    <w:rsid w:val="2B514803"/>
    <w:rsid w:val="2B637D4B"/>
    <w:rsid w:val="2B6B1684"/>
    <w:rsid w:val="2B7B70BF"/>
    <w:rsid w:val="2B8B422C"/>
    <w:rsid w:val="2B9B2B99"/>
    <w:rsid w:val="2BA07D38"/>
    <w:rsid w:val="2BB960F0"/>
    <w:rsid w:val="2BBE7FDE"/>
    <w:rsid w:val="2BC40957"/>
    <w:rsid w:val="2BCB5DAA"/>
    <w:rsid w:val="2BF369B9"/>
    <w:rsid w:val="2BFA0958"/>
    <w:rsid w:val="2BFC0A4A"/>
    <w:rsid w:val="2C094904"/>
    <w:rsid w:val="2C0E55A1"/>
    <w:rsid w:val="2C2E7508"/>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90F6A"/>
    <w:rsid w:val="2D6B40A9"/>
    <w:rsid w:val="2D765922"/>
    <w:rsid w:val="2D7C3EDE"/>
    <w:rsid w:val="2D892023"/>
    <w:rsid w:val="2D8A3FA2"/>
    <w:rsid w:val="2D925609"/>
    <w:rsid w:val="2D9767DC"/>
    <w:rsid w:val="2D980DDC"/>
    <w:rsid w:val="2D987372"/>
    <w:rsid w:val="2DC2086B"/>
    <w:rsid w:val="2DC35F89"/>
    <w:rsid w:val="2DCE26BE"/>
    <w:rsid w:val="2DCE5F69"/>
    <w:rsid w:val="2DD755E4"/>
    <w:rsid w:val="2DDD4F0A"/>
    <w:rsid w:val="2DED702C"/>
    <w:rsid w:val="2DF22567"/>
    <w:rsid w:val="2DF37ABF"/>
    <w:rsid w:val="2DF95234"/>
    <w:rsid w:val="2E031DA3"/>
    <w:rsid w:val="2E170B60"/>
    <w:rsid w:val="2E34792A"/>
    <w:rsid w:val="2E437E73"/>
    <w:rsid w:val="2E4F0E88"/>
    <w:rsid w:val="2E5034DC"/>
    <w:rsid w:val="2E572AB9"/>
    <w:rsid w:val="2E58199C"/>
    <w:rsid w:val="2E5A0B3B"/>
    <w:rsid w:val="2E7258DC"/>
    <w:rsid w:val="2E79458E"/>
    <w:rsid w:val="2E797A78"/>
    <w:rsid w:val="2E7C6A94"/>
    <w:rsid w:val="2E8321A5"/>
    <w:rsid w:val="2E8A404A"/>
    <w:rsid w:val="2E9F6D95"/>
    <w:rsid w:val="2EAE350B"/>
    <w:rsid w:val="2EB20A6C"/>
    <w:rsid w:val="2EBC2287"/>
    <w:rsid w:val="2EC86A5D"/>
    <w:rsid w:val="2ECA3116"/>
    <w:rsid w:val="2ED2618A"/>
    <w:rsid w:val="2EDD7896"/>
    <w:rsid w:val="2EEA6E65"/>
    <w:rsid w:val="2EFA17E9"/>
    <w:rsid w:val="2F00052B"/>
    <w:rsid w:val="2F0367CD"/>
    <w:rsid w:val="2F1251F2"/>
    <w:rsid w:val="2F1C4EE8"/>
    <w:rsid w:val="2F377F11"/>
    <w:rsid w:val="2F400562"/>
    <w:rsid w:val="2F413F9F"/>
    <w:rsid w:val="2F444B61"/>
    <w:rsid w:val="2F484C94"/>
    <w:rsid w:val="2F4D49C0"/>
    <w:rsid w:val="2F4F6FBB"/>
    <w:rsid w:val="2F5E5B1E"/>
    <w:rsid w:val="2F664E2B"/>
    <w:rsid w:val="2F6C7BE3"/>
    <w:rsid w:val="2F783485"/>
    <w:rsid w:val="2F7F5C0B"/>
    <w:rsid w:val="2FA6492D"/>
    <w:rsid w:val="2FB829D9"/>
    <w:rsid w:val="2FBA036C"/>
    <w:rsid w:val="2FBA5EC5"/>
    <w:rsid w:val="2FC03DA0"/>
    <w:rsid w:val="2FC90C17"/>
    <w:rsid w:val="2FC972D2"/>
    <w:rsid w:val="2FD71CA4"/>
    <w:rsid w:val="2FDC6CBD"/>
    <w:rsid w:val="2FDD1BD8"/>
    <w:rsid w:val="2FE56F75"/>
    <w:rsid w:val="2FF52C26"/>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61B12"/>
    <w:rsid w:val="30765307"/>
    <w:rsid w:val="30916BB1"/>
    <w:rsid w:val="30962F3E"/>
    <w:rsid w:val="30AA2585"/>
    <w:rsid w:val="30C16A19"/>
    <w:rsid w:val="30C72BF2"/>
    <w:rsid w:val="30CA4DB3"/>
    <w:rsid w:val="30D32236"/>
    <w:rsid w:val="30FA7530"/>
    <w:rsid w:val="30FF2795"/>
    <w:rsid w:val="310375CD"/>
    <w:rsid w:val="311611B3"/>
    <w:rsid w:val="31192C28"/>
    <w:rsid w:val="312A519F"/>
    <w:rsid w:val="313052DD"/>
    <w:rsid w:val="3132592D"/>
    <w:rsid w:val="313C313D"/>
    <w:rsid w:val="314E236F"/>
    <w:rsid w:val="315E0B07"/>
    <w:rsid w:val="31614403"/>
    <w:rsid w:val="31621F46"/>
    <w:rsid w:val="316E7CA0"/>
    <w:rsid w:val="317206BF"/>
    <w:rsid w:val="317932EA"/>
    <w:rsid w:val="317E5000"/>
    <w:rsid w:val="31AB40D1"/>
    <w:rsid w:val="31B718F2"/>
    <w:rsid w:val="31BD323E"/>
    <w:rsid w:val="31D20051"/>
    <w:rsid w:val="31EF7EE8"/>
    <w:rsid w:val="3201404F"/>
    <w:rsid w:val="320901F5"/>
    <w:rsid w:val="320B7CCB"/>
    <w:rsid w:val="32105DE8"/>
    <w:rsid w:val="3235187E"/>
    <w:rsid w:val="3237186B"/>
    <w:rsid w:val="323B6798"/>
    <w:rsid w:val="323D5A9C"/>
    <w:rsid w:val="324274BC"/>
    <w:rsid w:val="32454376"/>
    <w:rsid w:val="32466B7E"/>
    <w:rsid w:val="32537B57"/>
    <w:rsid w:val="325F618E"/>
    <w:rsid w:val="32614B36"/>
    <w:rsid w:val="326A40B9"/>
    <w:rsid w:val="326B2DFA"/>
    <w:rsid w:val="326B53BE"/>
    <w:rsid w:val="326E5B28"/>
    <w:rsid w:val="32757E99"/>
    <w:rsid w:val="32766C80"/>
    <w:rsid w:val="328F5534"/>
    <w:rsid w:val="32910B8E"/>
    <w:rsid w:val="329234AC"/>
    <w:rsid w:val="329A6ACE"/>
    <w:rsid w:val="329B0193"/>
    <w:rsid w:val="329C7909"/>
    <w:rsid w:val="32A230DB"/>
    <w:rsid w:val="32A73536"/>
    <w:rsid w:val="32CD2690"/>
    <w:rsid w:val="32DF351E"/>
    <w:rsid w:val="32EE5E41"/>
    <w:rsid w:val="32F37DFC"/>
    <w:rsid w:val="32F40F87"/>
    <w:rsid w:val="32FD7C76"/>
    <w:rsid w:val="330246BF"/>
    <w:rsid w:val="330C22FC"/>
    <w:rsid w:val="330F27A5"/>
    <w:rsid w:val="33247878"/>
    <w:rsid w:val="334B62AD"/>
    <w:rsid w:val="335046C5"/>
    <w:rsid w:val="33540E5D"/>
    <w:rsid w:val="335A0521"/>
    <w:rsid w:val="335E7B11"/>
    <w:rsid w:val="3364318B"/>
    <w:rsid w:val="33691888"/>
    <w:rsid w:val="336A499A"/>
    <w:rsid w:val="33714830"/>
    <w:rsid w:val="33737F51"/>
    <w:rsid w:val="337964FF"/>
    <w:rsid w:val="337D34FB"/>
    <w:rsid w:val="338A0D6A"/>
    <w:rsid w:val="3391740A"/>
    <w:rsid w:val="33BF4199"/>
    <w:rsid w:val="33D151B9"/>
    <w:rsid w:val="33FE62E7"/>
    <w:rsid w:val="340D25F6"/>
    <w:rsid w:val="34172EFD"/>
    <w:rsid w:val="34191E62"/>
    <w:rsid w:val="34204EC0"/>
    <w:rsid w:val="342B0377"/>
    <w:rsid w:val="342B76C7"/>
    <w:rsid w:val="342F2BD8"/>
    <w:rsid w:val="343627E9"/>
    <w:rsid w:val="343A1527"/>
    <w:rsid w:val="343C69D1"/>
    <w:rsid w:val="34447898"/>
    <w:rsid w:val="344E62FA"/>
    <w:rsid w:val="3472234D"/>
    <w:rsid w:val="347D500F"/>
    <w:rsid w:val="34830157"/>
    <w:rsid w:val="34872D27"/>
    <w:rsid w:val="349164BD"/>
    <w:rsid w:val="34A84B47"/>
    <w:rsid w:val="34BD02AE"/>
    <w:rsid w:val="34D949FE"/>
    <w:rsid w:val="34DA26A8"/>
    <w:rsid w:val="34E43AD1"/>
    <w:rsid w:val="34E960F1"/>
    <w:rsid w:val="34ED6696"/>
    <w:rsid w:val="34F67558"/>
    <w:rsid w:val="34F86F4F"/>
    <w:rsid w:val="350B42D5"/>
    <w:rsid w:val="350F6258"/>
    <w:rsid w:val="351A603C"/>
    <w:rsid w:val="351B6F23"/>
    <w:rsid w:val="352821F6"/>
    <w:rsid w:val="35387F19"/>
    <w:rsid w:val="3539550B"/>
    <w:rsid w:val="353C7CFC"/>
    <w:rsid w:val="354400F1"/>
    <w:rsid w:val="356678B4"/>
    <w:rsid w:val="3573649F"/>
    <w:rsid w:val="357E4B0A"/>
    <w:rsid w:val="35866D7F"/>
    <w:rsid w:val="358F6BDF"/>
    <w:rsid w:val="35A26D98"/>
    <w:rsid w:val="35C06D50"/>
    <w:rsid w:val="35C83CF1"/>
    <w:rsid w:val="35D24294"/>
    <w:rsid w:val="35D30A69"/>
    <w:rsid w:val="35FF6F3C"/>
    <w:rsid w:val="36075F27"/>
    <w:rsid w:val="36121506"/>
    <w:rsid w:val="361628D7"/>
    <w:rsid w:val="361D7A43"/>
    <w:rsid w:val="361E53C2"/>
    <w:rsid w:val="361F3323"/>
    <w:rsid w:val="36402EFA"/>
    <w:rsid w:val="364271C9"/>
    <w:rsid w:val="36496A51"/>
    <w:rsid w:val="365623F6"/>
    <w:rsid w:val="36670090"/>
    <w:rsid w:val="366D70A8"/>
    <w:rsid w:val="366E2787"/>
    <w:rsid w:val="368230C6"/>
    <w:rsid w:val="368B1AF9"/>
    <w:rsid w:val="368F7E4F"/>
    <w:rsid w:val="36900EB9"/>
    <w:rsid w:val="36985297"/>
    <w:rsid w:val="369F633B"/>
    <w:rsid w:val="36A30FDB"/>
    <w:rsid w:val="36A7007C"/>
    <w:rsid w:val="36B24AE8"/>
    <w:rsid w:val="36BD0DC4"/>
    <w:rsid w:val="36C621CD"/>
    <w:rsid w:val="36D51D00"/>
    <w:rsid w:val="36D66B5E"/>
    <w:rsid w:val="36E630A0"/>
    <w:rsid w:val="36E93760"/>
    <w:rsid w:val="36FB4305"/>
    <w:rsid w:val="37022E5B"/>
    <w:rsid w:val="3708597F"/>
    <w:rsid w:val="37096815"/>
    <w:rsid w:val="370F7060"/>
    <w:rsid w:val="37134801"/>
    <w:rsid w:val="37150C16"/>
    <w:rsid w:val="37173233"/>
    <w:rsid w:val="37226558"/>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C5BD6"/>
    <w:rsid w:val="382E392C"/>
    <w:rsid w:val="383024D3"/>
    <w:rsid w:val="38342E90"/>
    <w:rsid w:val="38402F80"/>
    <w:rsid w:val="384A24FB"/>
    <w:rsid w:val="384B7332"/>
    <w:rsid w:val="385056AF"/>
    <w:rsid w:val="38706DCB"/>
    <w:rsid w:val="387C6C0B"/>
    <w:rsid w:val="388157C6"/>
    <w:rsid w:val="388E5848"/>
    <w:rsid w:val="389863EC"/>
    <w:rsid w:val="38A94D18"/>
    <w:rsid w:val="38BD31EE"/>
    <w:rsid w:val="38CB3BDF"/>
    <w:rsid w:val="38D33D29"/>
    <w:rsid w:val="38DC3EDC"/>
    <w:rsid w:val="38E173A8"/>
    <w:rsid w:val="38E36442"/>
    <w:rsid w:val="38E40A5B"/>
    <w:rsid w:val="39285D57"/>
    <w:rsid w:val="39372A0B"/>
    <w:rsid w:val="394B6470"/>
    <w:rsid w:val="3953321D"/>
    <w:rsid w:val="39860592"/>
    <w:rsid w:val="39872512"/>
    <w:rsid w:val="39931A05"/>
    <w:rsid w:val="39A2099B"/>
    <w:rsid w:val="39A602F9"/>
    <w:rsid w:val="39BD45C8"/>
    <w:rsid w:val="39C2316A"/>
    <w:rsid w:val="39CB2EF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580E31"/>
    <w:rsid w:val="3A685AA2"/>
    <w:rsid w:val="3A6A0CCC"/>
    <w:rsid w:val="3A6B0F84"/>
    <w:rsid w:val="3A727435"/>
    <w:rsid w:val="3A94055A"/>
    <w:rsid w:val="3AC17E3A"/>
    <w:rsid w:val="3AC71C01"/>
    <w:rsid w:val="3ACB5746"/>
    <w:rsid w:val="3ADD07D2"/>
    <w:rsid w:val="3ADD2B05"/>
    <w:rsid w:val="3AE417E3"/>
    <w:rsid w:val="3AE440AF"/>
    <w:rsid w:val="3AF7667E"/>
    <w:rsid w:val="3B032215"/>
    <w:rsid w:val="3B113F51"/>
    <w:rsid w:val="3B185809"/>
    <w:rsid w:val="3B2C21C1"/>
    <w:rsid w:val="3B307112"/>
    <w:rsid w:val="3B4D57EF"/>
    <w:rsid w:val="3B540533"/>
    <w:rsid w:val="3B5A2A22"/>
    <w:rsid w:val="3B663D38"/>
    <w:rsid w:val="3B70246F"/>
    <w:rsid w:val="3B7804A3"/>
    <w:rsid w:val="3B8E2153"/>
    <w:rsid w:val="3BA03B83"/>
    <w:rsid w:val="3BB20883"/>
    <w:rsid w:val="3BC34E75"/>
    <w:rsid w:val="3BCB270F"/>
    <w:rsid w:val="3BCF7E47"/>
    <w:rsid w:val="3BD76CB6"/>
    <w:rsid w:val="3BD96AA6"/>
    <w:rsid w:val="3BE940D8"/>
    <w:rsid w:val="3C0429BF"/>
    <w:rsid w:val="3C1A201A"/>
    <w:rsid w:val="3C371D4B"/>
    <w:rsid w:val="3C3B4B9D"/>
    <w:rsid w:val="3C413C82"/>
    <w:rsid w:val="3C4502E0"/>
    <w:rsid w:val="3C471C36"/>
    <w:rsid w:val="3C4B03D1"/>
    <w:rsid w:val="3C565085"/>
    <w:rsid w:val="3C5A6B66"/>
    <w:rsid w:val="3C5D215A"/>
    <w:rsid w:val="3C6712D5"/>
    <w:rsid w:val="3C734413"/>
    <w:rsid w:val="3C8E50A1"/>
    <w:rsid w:val="3C982C18"/>
    <w:rsid w:val="3CA734F8"/>
    <w:rsid w:val="3CB95EFC"/>
    <w:rsid w:val="3CC74223"/>
    <w:rsid w:val="3CC828D0"/>
    <w:rsid w:val="3CDB12FB"/>
    <w:rsid w:val="3CDB5F96"/>
    <w:rsid w:val="3CE23F49"/>
    <w:rsid w:val="3CEC39B8"/>
    <w:rsid w:val="3CF16761"/>
    <w:rsid w:val="3CF720E3"/>
    <w:rsid w:val="3CF72D6A"/>
    <w:rsid w:val="3CF86D06"/>
    <w:rsid w:val="3D00620E"/>
    <w:rsid w:val="3D035226"/>
    <w:rsid w:val="3D145DC3"/>
    <w:rsid w:val="3D316CDB"/>
    <w:rsid w:val="3D3679ED"/>
    <w:rsid w:val="3D3D6BBD"/>
    <w:rsid w:val="3D450F8C"/>
    <w:rsid w:val="3D477118"/>
    <w:rsid w:val="3D4C3A73"/>
    <w:rsid w:val="3D594E54"/>
    <w:rsid w:val="3D62706F"/>
    <w:rsid w:val="3D6E2272"/>
    <w:rsid w:val="3D6E5ED6"/>
    <w:rsid w:val="3D7C727A"/>
    <w:rsid w:val="3D81786B"/>
    <w:rsid w:val="3D830417"/>
    <w:rsid w:val="3D877AC5"/>
    <w:rsid w:val="3D882D35"/>
    <w:rsid w:val="3D8D2848"/>
    <w:rsid w:val="3D94235D"/>
    <w:rsid w:val="3D9461E1"/>
    <w:rsid w:val="3DAC1E4C"/>
    <w:rsid w:val="3DB34E86"/>
    <w:rsid w:val="3DD31030"/>
    <w:rsid w:val="3DE05321"/>
    <w:rsid w:val="3DEC775B"/>
    <w:rsid w:val="3DF379B0"/>
    <w:rsid w:val="3DF52358"/>
    <w:rsid w:val="3DF95812"/>
    <w:rsid w:val="3E05314D"/>
    <w:rsid w:val="3E142837"/>
    <w:rsid w:val="3E1D4077"/>
    <w:rsid w:val="3E1D4B24"/>
    <w:rsid w:val="3E2811AE"/>
    <w:rsid w:val="3E2E1A1A"/>
    <w:rsid w:val="3E3A04FA"/>
    <w:rsid w:val="3E3D6B96"/>
    <w:rsid w:val="3E441C7D"/>
    <w:rsid w:val="3E490256"/>
    <w:rsid w:val="3E55739E"/>
    <w:rsid w:val="3E6C43C8"/>
    <w:rsid w:val="3E7A6362"/>
    <w:rsid w:val="3E8227F0"/>
    <w:rsid w:val="3E954035"/>
    <w:rsid w:val="3E9B4B40"/>
    <w:rsid w:val="3EA5009E"/>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3E7C9F"/>
    <w:rsid w:val="3F416B99"/>
    <w:rsid w:val="3F4F1E6B"/>
    <w:rsid w:val="3F4F5AD7"/>
    <w:rsid w:val="3F537FF3"/>
    <w:rsid w:val="3F5D0DD6"/>
    <w:rsid w:val="3F6B75A6"/>
    <w:rsid w:val="3F7B3FB4"/>
    <w:rsid w:val="3F840943"/>
    <w:rsid w:val="3F8735EE"/>
    <w:rsid w:val="3F8C0A49"/>
    <w:rsid w:val="3F913853"/>
    <w:rsid w:val="3F9660C3"/>
    <w:rsid w:val="3FA827ED"/>
    <w:rsid w:val="3FAE45A4"/>
    <w:rsid w:val="3FB45C58"/>
    <w:rsid w:val="3FBA5EFD"/>
    <w:rsid w:val="3FC36557"/>
    <w:rsid w:val="3FC956FF"/>
    <w:rsid w:val="3FCE3965"/>
    <w:rsid w:val="3FD13F50"/>
    <w:rsid w:val="3FD66463"/>
    <w:rsid w:val="3FDC5F31"/>
    <w:rsid w:val="3FDD07D5"/>
    <w:rsid w:val="3FE04625"/>
    <w:rsid w:val="3FE86CE8"/>
    <w:rsid w:val="3FF7456C"/>
    <w:rsid w:val="3FFB0F66"/>
    <w:rsid w:val="40007A90"/>
    <w:rsid w:val="40146E6B"/>
    <w:rsid w:val="401D46D5"/>
    <w:rsid w:val="403052F1"/>
    <w:rsid w:val="40345E51"/>
    <w:rsid w:val="404469FD"/>
    <w:rsid w:val="404A2717"/>
    <w:rsid w:val="404E4D25"/>
    <w:rsid w:val="404E779F"/>
    <w:rsid w:val="4053018C"/>
    <w:rsid w:val="4059090D"/>
    <w:rsid w:val="406277A4"/>
    <w:rsid w:val="4065170A"/>
    <w:rsid w:val="40672E2D"/>
    <w:rsid w:val="40687965"/>
    <w:rsid w:val="406E5CAB"/>
    <w:rsid w:val="40713C35"/>
    <w:rsid w:val="40745F23"/>
    <w:rsid w:val="40773B17"/>
    <w:rsid w:val="407965C6"/>
    <w:rsid w:val="408376F8"/>
    <w:rsid w:val="40A25054"/>
    <w:rsid w:val="40A325E0"/>
    <w:rsid w:val="40BD0DA1"/>
    <w:rsid w:val="40CC265C"/>
    <w:rsid w:val="40EC7D18"/>
    <w:rsid w:val="40ED11A0"/>
    <w:rsid w:val="40FD1BF0"/>
    <w:rsid w:val="41096BC0"/>
    <w:rsid w:val="410A75B6"/>
    <w:rsid w:val="410B452A"/>
    <w:rsid w:val="413353F1"/>
    <w:rsid w:val="41513BC9"/>
    <w:rsid w:val="41735B7F"/>
    <w:rsid w:val="41CA7DCA"/>
    <w:rsid w:val="41D574BC"/>
    <w:rsid w:val="41D75714"/>
    <w:rsid w:val="41D95EE3"/>
    <w:rsid w:val="41DD3BC3"/>
    <w:rsid w:val="41E37EFF"/>
    <w:rsid w:val="41EE2F03"/>
    <w:rsid w:val="41F466FD"/>
    <w:rsid w:val="42002BC7"/>
    <w:rsid w:val="42026B03"/>
    <w:rsid w:val="420D197F"/>
    <w:rsid w:val="421316FC"/>
    <w:rsid w:val="42187EBE"/>
    <w:rsid w:val="421A7E5C"/>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1DE"/>
    <w:rsid w:val="42F87EC9"/>
    <w:rsid w:val="42FA45BF"/>
    <w:rsid w:val="430E7E66"/>
    <w:rsid w:val="431A43A9"/>
    <w:rsid w:val="432D4BEA"/>
    <w:rsid w:val="4332317A"/>
    <w:rsid w:val="433F6B54"/>
    <w:rsid w:val="4346543A"/>
    <w:rsid w:val="43482DD2"/>
    <w:rsid w:val="435B1259"/>
    <w:rsid w:val="436263D5"/>
    <w:rsid w:val="437556C4"/>
    <w:rsid w:val="437C3AD0"/>
    <w:rsid w:val="43874CD4"/>
    <w:rsid w:val="43AF2D32"/>
    <w:rsid w:val="43B66A7C"/>
    <w:rsid w:val="43B76E4F"/>
    <w:rsid w:val="43CF0206"/>
    <w:rsid w:val="43D235C5"/>
    <w:rsid w:val="43D310A3"/>
    <w:rsid w:val="43D669B3"/>
    <w:rsid w:val="43D85D6D"/>
    <w:rsid w:val="43EC6F1F"/>
    <w:rsid w:val="43FE44BA"/>
    <w:rsid w:val="440D5045"/>
    <w:rsid w:val="442D5CB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9F17BE"/>
    <w:rsid w:val="44A24696"/>
    <w:rsid w:val="44CD5F97"/>
    <w:rsid w:val="44DC46EB"/>
    <w:rsid w:val="44F03F8F"/>
    <w:rsid w:val="44F14ECF"/>
    <w:rsid w:val="45115669"/>
    <w:rsid w:val="45206108"/>
    <w:rsid w:val="45210EEA"/>
    <w:rsid w:val="452723E6"/>
    <w:rsid w:val="45275172"/>
    <w:rsid w:val="452754C3"/>
    <w:rsid w:val="45332511"/>
    <w:rsid w:val="45412C46"/>
    <w:rsid w:val="45514AD5"/>
    <w:rsid w:val="4552412E"/>
    <w:rsid w:val="4557634E"/>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D2126"/>
    <w:rsid w:val="460C5979"/>
    <w:rsid w:val="46110AB3"/>
    <w:rsid w:val="46143B66"/>
    <w:rsid w:val="461B1594"/>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9448C6"/>
    <w:rsid w:val="469F39B5"/>
    <w:rsid w:val="46A232B5"/>
    <w:rsid w:val="46A50B23"/>
    <w:rsid w:val="46B80AF8"/>
    <w:rsid w:val="46D37F0B"/>
    <w:rsid w:val="46D71533"/>
    <w:rsid w:val="46E53335"/>
    <w:rsid w:val="47040E98"/>
    <w:rsid w:val="470A337F"/>
    <w:rsid w:val="47155D89"/>
    <w:rsid w:val="47253C54"/>
    <w:rsid w:val="473069AF"/>
    <w:rsid w:val="473672E7"/>
    <w:rsid w:val="473F2E3A"/>
    <w:rsid w:val="474A0EAF"/>
    <w:rsid w:val="474E50BE"/>
    <w:rsid w:val="47696F9C"/>
    <w:rsid w:val="47697A24"/>
    <w:rsid w:val="47725A17"/>
    <w:rsid w:val="477D3243"/>
    <w:rsid w:val="478821A1"/>
    <w:rsid w:val="478837D2"/>
    <w:rsid w:val="479128A9"/>
    <w:rsid w:val="47975EDC"/>
    <w:rsid w:val="47983B19"/>
    <w:rsid w:val="479E1EC1"/>
    <w:rsid w:val="479E5E8D"/>
    <w:rsid w:val="47A3609D"/>
    <w:rsid w:val="47B35372"/>
    <w:rsid w:val="47B806D7"/>
    <w:rsid w:val="47C01792"/>
    <w:rsid w:val="47C15AE4"/>
    <w:rsid w:val="47C57A48"/>
    <w:rsid w:val="47D253E2"/>
    <w:rsid w:val="47D511BD"/>
    <w:rsid w:val="47E36C0B"/>
    <w:rsid w:val="47E4504F"/>
    <w:rsid w:val="480321E6"/>
    <w:rsid w:val="4808150F"/>
    <w:rsid w:val="480E6650"/>
    <w:rsid w:val="480F51A8"/>
    <w:rsid w:val="48256B1B"/>
    <w:rsid w:val="48282713"/>
    <w:rsid w:val="484417FA"/>
    <w:rsid w:val="48450ECE"/>
    <w:rsid w:val="484759CD"/>
    <w:rsid w:val="484B14EC"/>
    <w:rsid w:val="48565DBC"/>
    <w:rsid w:val="4865550B"/>
    <w:rsid w:val="48713351"/>
    <w:rsid w:val="48802846"/>
    <w:rsid w:val="48850157"/>
    <w:rsid w:val="48B116EA"/>
    <w:rsid w:val="48B74C7A"/>
    <w:rsid w:val="48BE32BF"/>
    <w:rsid w:val="48C354EC"/>
    <w:rsid w:val="48CB2583"/>
    <w:rsid w:val="48D429DD"/>
    <w:rsid w:val="48E01C77"/>
    <w:rsid w:val="48E22285"/>
    <w:rsid w:val="48E50D90"/>
    <w:rsid w:val="48EF602A"/>
    <w:rsid w:val="48F906C8"/>
    <w:rsid w:val="48FA15CC"/>
    <w:rsid w:val="491B63DF"/>
    <w:rsid w:val="491D63E9"/>
    <w:rsid w:val="492A068A"/>
    <w:rsid w:val="4932285C"/>
    <w:rsid w:val="493551FE"/>
    <w:rsid w:val="493C06FE"/>
    <w:rsid w:val="493E2F78"/>
    <w:rsid w:val="495043C3"/>
    <w:rsid w:val="495217DF"/>
    <w:rsid w:val="4958367A"/>
    <w:rsid w:val="49602C43"/>
    <w:rsid w:val="498A16CD"/>
    <w:rsid w:val="498B6AFE"/>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24012B"/>
    <w:rsid w:val="4B250CF8"/>
    <w:rsid w:val="4B277E4E"/>
    <w:rsid w:val="4B7C4100"/>
    <w:rsid w:val="4B80136B"/>
    <w:rsid w:val="4B830F9B"/>
    <w:rsid w:val="4B9B0C47"/>
    <w:rsid w:val="4B9D4011"/>
    <w:rsid w:val="4BB36BDD"/>
    <w:rsid w:val="4BBC374F"/>
    <w:rsid w:val="4BC24B5E"/>
    <w:rsid w:val="4BC32290"/>
    <w:rsid w:val="4BD0339A"/>
    <w:rsid w:val="4BF32495"/>
    <w:rsid w:val="4BFA3FA2"/>
    <w:rsid w:val="4C046437"/>
    <w:rsid w:val="4C2B4DDD"/>
    <w:rsid w:val="4C562920"/>
    <w:rsid w:val="4C5D1F92"/>
    <w:rsid w:val="4C603F16"/>
    <w:rsid w:val="4C6262E0"/>
    <w:rsid w:val="4C632900"/>
    <w:rsid w:val="4C6703A3"/>
    <w:rsid w:val="4C6D7518"/>
    <w:rsid w:val="4C923A72"/>
    <w:rsid w:val="4CB96B0F"/>
    <w:rsid w:val="4CC74140"/>
    <w:rsid w:val="4CD20398"/>
    <w:rsid w:val="4CD315DD"/>
    <w:rsid w:val="4CDE1A81"/>
    <w:rsid w:val="4CE34E9F"/>
    <w:rsid w:val="4CE56ED7"/>
    <w:rsid w:val="4CF52D94"/>
    <w:rsid w:val="4CFE43DF"/>
    <w:rsid w:val="4D040BDB"/>
    <w:rsid w:val="4D131782"/>
    <w:rsid w:val="4D257DB4"/>
    <w:rsid w:val="4D2B086E"/>
    <w:rsid w:val="4D3520AA"/>
    <w:rsid w:val="4D3F60F3"/>
    <w:rsid w:val="4D462159"/>
    <w:rsid w:val="4D465FB7"/>
    <w:rsid w:val="4D566017"/>
    <w:rsid w:val="4D5F35CB"/>
    <w:rsid w:val="4D613CEC"/>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1D0E34"/>
    <w:rsid w:val="4E27683A"/>
    <w:rsid w:val="4E354DF5"/>
    <w:rsid w:val="4E4C50A3"/>
    <w:rsid w:val="4E510698"/>
    <w:rsid w:val="4E576363"/>
    <w:rsid w:val="4E635567"/>
    <w:rsid w:val="4E63744A"/>
    <w:rsid w:val="4E642C68"/>
    <w:rsid w:val="4E742982"/>
    <w:rsid w:val="4E9C0636"/>
    <w:rsid w:val="4EA30DB6"/>
    <w:rsid w:val="4EA7341F"/>
    <w:rsid w:val="4EA74FA1"/>
    <w:rsid w:val="4EB6433D"/>
    <w:rsid w:val="4ECF5E5B"/>
    <w:rsid w:val="4ED513E2"/>
    <w:rsid w:val="4EDB58B2"/>
    <w:rsid w:val="4EE925CE"/>
    <w:rsid w:val="4EEF2E30"/>
    <w:rsid w:val="4EF24828"/>
    <w:rsid w:val="4EFE7F59"/>
    <w:rsid w:val="4F016DF9"/>
    <w:rsid w:val="4F1869D4"/>
    <w:rsid w:val="4F285975"/>
    <w:rsid w:val="4F2A7BF3"/>
    <w:rsid w:val="4F2E2624"/>
    <w:rsid w:val="4F4E1077"/>
    <w:rsid w:val="4F52614B"/>
    <w:rsid w:val="4F536D1B"/>
    <w:rsid w:val="4F546156"/>
    <w:rsid w:val="4F671A09"/>
    <w:rsid w:val="4F844A99"/>
    <w:rsid w:val="4F94662C"/>
    <w:rsid w:val="4FAB2D34"/>
    <w:rsid w:val="4FB00163"/>
    <w:rsid w:val="4FB208E7"/>
    <w:rsid w:val="4FC11F63"/>
    <w:rsid w:val="4FC87324"/>
    <w:rsid w:val="4FD11690"/>
    <w:rsid w:val="4FE30332"/>
    <w:rsid w:val="4FE70BB4"/>
    <w:rsid w:val="4FE73C01"/>
    <w:rsid w:val="4FE87C31"/>
    <w:rsid w:val="500452D1"/>
    <w:rsid w:val="50051807"/>
    <w:rsid w:val="500815B6"/>
    <w:rsid w:val="500B39BC"/>
    <w:rsid w:val="5022123F"/>
    <w:rsid w:val="502B7315"/>
    <w:rsid w:val="503F32CF"/>
    <w:rsid w:val="5041152A"/>
    <w:rsid w:val="50421ACF"/>
    <w:rsid w:val="5042655E"/>
    <w:rsid w:val="505C5D66"/>
    <w:rsid w:val="507E1B25"/>
    <w:rsid w:val="508264CE"/>
    <w:rsid w:val="50857E4D"/>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57070"/>
    <w:rsid w:val="51A67E0E"/>
    <w:rsid w:val="51A87B15"/>
    <w:rsid w:val="51BA0CB7"/>
    <w:rsid w:val="51C93676"/>
    <w:rsid w:val="51C95C2C"/>
    <w:rsid w:val="51CB1F8D"/>
    <w:rsid w:val="51D129CA"/>
    <w:rsid w:val="51D87F7E"/>
    <w:rsid w:val="51D93F8A"/>
    <w:rsid w:val="51E5046A"/>
    <w:rsid w:val="51F62C0E"/>
    <w:rsid w:val="52095400"/>
    <w:rsid w:val="520E5E03"/>
    <w:rsid w:val="52272B85"/>
    <w:rsid w:val="523E09B5"/>
    <w:rsid w:val="5249247A"/>
    <w:rsid w:val="525466FB"/>
    <w:rsid w:val="525770DA"/>
    <w:rsid w:val="525777C6"/>
    <w:rsid w:val="525E17DE"/>
    <w:rsid w:val="52687B2A"/>
    <w:rsid w:val="526E0E82"/>
    <w:rsid w:val="52720C99"/>
    <w:rsid w:val="527901C6"/>
    <w:rsid w:val="527C7B91"/>
    <w:rsid w:val="5280722C"/>
    <w:rsid w:val="52A24532"/>
    <w:rsid w:val="52B3363A"/>
    <w:rsid w:val="52B825FC"/>
    <w:rsid w:val="52B94C95"/>
    <w:rsid w:val="52C4763C"/>
    <w:rsid w:val="52DE691D"/>
    <w:rsid w:val="52E04D27"/>
    <w:rsid w:val="52E75660"/>
    <w:rsid w:val="52ED0C96"/>
    <w:rsid w:val="52FB45EB"/>
    <w:rsid w:val="53047E42"/>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646CA"/>
    <w:rsid w:val="53FE7128"/>
    <w:rsid w:val="54247F22"/>
    <w:rsid w:val="542C29CD"/>
    <w:rsid w:val="542F1551"/>
    <w:rsid w:val="54381756"/>
    <w:rsid w:val="5445418B"/>
    <w:rsid w:val="54596DB5"/>
    <w:rsid w:val="545A1EBF"/>
    <w:rsid w:val="54717CCC"/>
    <w:rsid w:val="54727478"/>
    <w:rsid w:val="54925C17"/>
    <w:rsid w:val="54B06F11"/>
    <w:rsid w:val="54B56DF4"/>
    <w:rsid w:val="54B93943"/>
    <w:rsid w:val="54BB2BC9"/>
    <w:rsid w:val="54BE5578"/>
    <w:rsid w:val="54BF52B5"/>
    <w:rsid w:val="54C7176A"/>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BF69D2"/>
    <w:rsid w:val="55C35A76"/>
    <w:rsid w:val="55D40743"/>
    <w:rsid w:val="55DD6F2A"/>
    <w:rsid w:val="55E46ECB"/>
    <w:rsid w:val="55E8339E"/>
    <w:rsid w:val="55E92876"/>
    <w:rsid w:val="55F06771"/>
    <w:rsid w:val="55F1761D"/>
    <w:rsid w:val="55FA49AD"/>
    <w:rsid w:val="56013311"/>
    <w:rsid w:val="56106284"/>
    <w:rsid w:val="562339AD"/>
    <w:rsid w:val="5632642A"/>
    <w:rsid w:val="56375B61"/>
    <w:rsid w:val="56462238"/>
    <w:rsid w:val="564944F4"/>
    <w:rsid w:val="564C7B44"/>
    <w:rsid w:val="564E5820"/>
    <w:rsid w:val="5651167C"/>
    <w:rsid w:val="56630C00"/>
    <w:rsid w:val="567739D2"/>
    <w:rsid w:val="5686536D"/>
    <w:rsid w:val="56865971"/>
    <w:rsid w:val="568B1DB1"/>
    <w:rsid w:val="568F7F41"/>
    <w:rsid w:val="56A55214"/>
    <w:rsid w:val="56A67978"/>
    <w:rsid w:val="56AC63C5"/>
    <w:rsid w:val="56B61F71"/>
    <w:rsid w:val="56BD6B54"/>
    <w:rsid w:val="56C1700B"/>
    <w:rsid w:val="56D20841"/>
    <w:rsid w:val="56D25618"/>
    <w:rsid w:val="56E84A97"/>
    <w:rsid w:val="56F648D3"/>
    <w:rsid w:val="57002F90"/>
    <w:rsid w:val="57011F3E"/>
    <w:rsid w:val="5705646B"/>
    <w:rsid w:val="57060649"/>
    <w:rsid w:val="5732705F"/>
    <w:rsid w:val="5734308D"/>
    <w:rsid w:val="57351D6F"/>
    <w:rsid w:val="5750195B"/>
    <w:rsid w:val="57504B16"/>
    <w:rsid w:val="576476C1"/>
    <w:rsid w:val="57652A96"/>
    <w:rsid w:val="57662DB4"/>
    <w:rsid w:val="577B3337"/>
    <w:rsid w:val="578A30A4"/>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95802"/>
    <w:rsid w:val="585D5BB3"/>
    <w:rsid w:val="586D57A3"/>
    <w:rsid w:val="587917A0"/>
    <w:rsid w:val="587A4288"/>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5504F"/>
    <w:rsid w:val="596B0B42"/>
    <w:rsid w:val="5987482A"/>
    <w:rsid w:val="59904485"/>
    <w:rsid w:val="599C49A8"/>
    <w:rsid w:val="59A36725"/>
    <w:rsid w:val="59B21BF9"/>
    <w:rsid w:val="59B94FAB"/>
    <w:rsid w:val="59BB4EA3"/>
    <w:rsid w:val="59DE698A"/>
    <w:rsid w:val="59E9525B"/>
    <w:rsid w:val="59ED369A"/>
    <w:rsid w:val="5A011A3B"/>
    <w:rsid w:val="5A3C0F08"/>
    <w:rsid w:val="5A3E5B83"/>
    <w:rsid w:val="5A4A0FD5"/>
    <w:rsid w:val="5A5663A3"/>
    <w:rsid w:val="5A571746"/>
    <w:rsid w:val="5A5907CA"/>
    <w:rsid w:val="5A6253E3"/>
    <w:rsid w:val="5A8E6670"/>
    <w:rsid w:val="5A912613"/>
    <w:rsid w:val="5A9245E9"/>
    <w:rsid w:val="5A953D41"/>
    <w:rsid w:val="5A9E517A"/>
    <w:rsid w:val="5AB011D9"/>
    <w:rsid w:val="5AB6510A"/>
    <w:rsid w:val="5ABC50F4"/>
    <w:rsid w:val="5AC251A0"/>
    <w:rsid w:val="5ACC4940"/>
    <w:rsid w:val="5AD50599"/>
    <w:rsid w:val="5AD6080A"/>
    <w:rsid w:val="5AD71465"/>
    <w:rsid w:val="5AD86A6D"/>
    <w:rsid w:val="5AEC14F6"/>
    <w:rsid w:val="5AF124A4"/>
    <w:rsid w:val="5AFB02E8"/>
    <w:rsid w:val="5AFB61DC"/>
    <w:rsid w:val="5B120BF4"/>
    <w:rsid w:val="5B141085"/>
    <w:rsid w:val="5B1E05C0"/>
    <w:rsid w:val="5B273A27"/>
    <w:rsid w:val="5B28192B"/>
    <w:rsid w:val="5B282D41"/>
    <w:rsid w:val="5B2E7D32"/>
    <w:rsid w:val="5B373A6F"/>
    <w:rsid w:val="5B402461"/>
    <w:rsid w:val="5B4E0CD7"/>
    <w:rsid w:val="5B600DA9"/>
    <w:rsid w:val="5B631C92"/>
    <w:rsid w:val="5B66707B"/>
    <w:rsid w:val="5B673066"/>
    <w:rsid w:val="5B785E83"/>
    <w:rsid w:val="5B7C1CD1"/>
    <w:rsid w:val="5B9251EF"/>
    <w:rsid w:val="5B9C7CD2"/>
    <w:rsid w:val="5BAB5BC4"/>
    <w:rsid w:val="5BB20B74"/>
    <w:rsid w:val="5BC677D8"/>
    <w:rsid w:val="5BD42177"/>
    <w:rsid w:val="5BE75664"/>
    <w:rsid w:val="5BEB0120"/>
    <w:rsid w:val="5BFA6AFF"/>
    <w:rsid w:val="5C057E77"/>
    <w:rsid w:val="5C097C4E"/>
    <w:rsid w:val="5C0B763C"/>
    <w:rsid w:val="5C104619"/>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4B0764"/>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B095A"/>
    <w:rsid w:val="5DEC05A1"/>
    <w:rsid w:val="5DFD51DB"/>
    <w:rsid w:val="5DFE5B43"/>
    <w:rsid w:val="5E040CAD"/>
    <w:rsid w:val="5E0B0848"/>
    <w:rsid w:val="5E1D4A67"/>
    <w:rsid w:val="5E213714"/>
    <w:rsid w:val="5E237029"/>
    <w:rsid w:val="5E2D4789"/>
    <w:rsid w:val="5E3A3BD1"/>
    <w:rsid w:val="5E4C19C5"/>
    <w:rsid w:val="5E5203B8"/>
    <w:rsid w:val="5E6A5399"/>
    <w:rsid w:val="5E71373F"/>
    <w:rsid w:val="5E717191"/>
    <w:rsid w:val="5E736456"/>
    <w:rsid w:val="5E76329E"/>
    <w:rsid w:val="5E830708"/>
    <w:rsid w:val="5E831398"/>
    <w:rsid w:val="5E85633A"/>
    <w:rsid w:val="5E921A45"/>
    <w:rsid w:val="5E975993"/>
    <w:rsid w:val="5EAC1043"/>
    <w:rsid w:val="5EB51FDE"/>
    <w:rsid w:val="5EBA4472"/>
    <w:rsid w:val="5EC501AE"/>
    <w:rsid w:val="5ECA3D37"/>
    <w:rsid w:val="5ECD3218"/>
    <w:rsid w:val="5EE153F8"/>
    <w:rsid w:val="5EED7893"/>
    <w:rsid w:val="5F0842F6"/>
    <w:rsid w:val="5F0A3A61"/>
    <w:rsid w:val="5F134343"/>
    <w:rsid w:val="5F2B57AF"/>
    <w:rsid w:val="5F3A7C5E"/>
    <w:rsid w:val="5F5F5C90"/>
    <w:rsid w:val="5F666A7F"/>
    <w:rsid w:val="5F683B6E"/>
    <w:rsid w:val="5F742691"/>
    <w:rsid w:val="5F867BE8"/>
    <w:rsid w:val="5F875C0C"/>
    <w:rsid w:val="5F8F0B9E"/>
    <w:rsid w:val="5F8F267A"/>
    <w:rsid w:val="5F9E5F96"/>
    <w:rsid w:val="5FB94C48"/>
    <w:rsid w:val="5FCE4FD3"/>
    <w:rsid w:val="5FF37587"/>
    <w:rsid w:val="5FFB25B2"/>
    <w:rsid w:val="5FFE57B7"/>
    <w:rsid w:val="6001288A"/>
    <w:rsid w:val="60060CD5"/>
    <w:rsid w:val="600762FF"/>
    <w:rsid w:val="60085AA3"/>
    <w:rsid w:val="600C34C4"/>
    <w:rsid w:val="600E362B"/>
    <w:rsid w:val="60183392"/>
    <w:rsid w:val="601A4CB1"/>
    <w:rsid w:val="602C236D"/>
    <w:rsid w:val="603967D7"/>
    <w:rsid w:val="603D3325"/>
    <w:rsid w:val="60470CE3"/>
    <w:rsid w:val="604A6A1F"/>
    <w:rsid w:val="604E6809"/>
    <w:rsid w:val="605223DF"/>
    <w:rsid w:val="60597AB8"/>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16438"/>
    <w:rsid w:val="60E51841"/>
    <w:rsid w:val="60ED4DAA"/>
    <w:rsid w:val="61110088"/>
    <w:rsid w:val="611543D6"/>
    <w:rsid w:val="6122664B"/>
    <w:rsid w:val="613009FA"/>
    <w:rsid w:val="61421EFD"/>
    <w:rsid w:val="61450F8F"/>
    <w:rsid w:val="61594ADE"/>
    <w:rsid w:val="615C5041"/>
    <w:rsid w:val="6182260C"/>
    <w:rsid w:val="618C1883"/>
    <w:rsid w:val="619117A1"/>
    <w:rsid w:val="61972EF8"/>
    <w:rsid w:val="619F6539"/>
    <w:rsid w:val="61D04549"/>
    <w:rsid w:val="61D43A2B"/>
    <w:rsid w:val="61D61317"/>
    <w:rsid w:val="61F112FF"/>
    <w:rsid w:val="61FF316E"/>
    <w:rsid w:val="620F4BAD"/>
    <w:rsid w:val="621542CB"/>
    <w:rsid w:val="622D59F2"/>
    <w:rsid w:val="623E733C"/>
    <w:rsid w:val="624263A2"/>
    <w:rsid w:val="625272C3"/>
    <w:rsid w:val="625D5DC9"/>
    <w:rsid w:val="62715337"/>
    <w:rsid w:val="6280204D"/>
    <w:rsid w:val="62820D2A"/>
    <w:rsid w:val="6290769B"/>
    <w:rsid w:val="62943D08"/>
    <w:rsid w:val="62A411F8"/>
    <w:rsid w:val="62B35BE9"/>
    <w:rsid w:val="62BA7A46"/>
    <w:rsid w:val="62C376AC"/>
    <w:rsid w:val="62CE13CB"/>
    <w:rsid w:val="62D2197B"/>
    <w:rsid w:val="62D92B37"/>
    <w:rsid w:val="62E97D27"/>
    <w:rsid w:val="62F6011A"/>
    <w:rsid w:val="632624E0"/>
    <w:rsid w:val="6327422B"/>
    <w:rsid w:val="632D369F"/>
    <w:rsid w:val="6333152F"/>
    <w:rsid w:val="633B249F"/>
    <w:rsid w:val="634B124D"/>
    <w:rsid w:val="634D7789"/>
    <w:rsid w:val="634E2E6F"/>
    <w:rsid w:val="63552D76"/>
    <w:rsid w:val="6359778B"/>
    <w:rsid w:val="635B63E3"/>
    <w:rsid w:val="63776102"/>
    <w:rsid w:val="637767A2"/>
    <w:rsid w:val="638C3395"/>
    <w:rsid w:val="639623D1"/>
    <w:rsid w:val="639E76D8"/>
    <w:rsid w:val="63A5373A"/>
    <w:rsid w:val="63A90249"/>
    <w:rsid w:val="63B159B9"/>
    <w:rsid w:val="63BA3154"/>
    <w:rsid w:val="63BD710D"/>
    <w:rsid w:val="63CA2E8B"/>
    <w:rsid w:val="63E022EB"/>
    <w:rsid w:val="63E333C1"/>
    <w:rsid w:val="63F47D2A"/>
    <w:rsid w:val="63FE2D33"/>
    <w:rsid w:val="64113810"/>
    <w:rsid w:val="64264A79"/>
    <w:rsid w:val="64304E58"/>
    <w:rsid w:val="64311867"/>
    <w:rsid w:val="64391ED3"/>
    <w:rsid w:val="6445632E"/>
    <w:rsid w:val="64585750"/>
    <w:rsid w:val="645E7889"/>
    <w:rsid w:val="64623C90"/>
    <w:rsid w:val="648939AA"/>
    <w:rsid w:val="64934B51"/>
    <w:rsid w:val="649B1AC2"/>
    <w:rsid w:val="64A7467B"/>
    <w:rsid w:val="64C86505"/>
    <w:rsid w:val="64F376E2"/>
    <w:rsid w:val="64F525EF"/>
    <w:rsid w:val="64FE700F"/>
    <w:rsid w:val="6500327F"/>
    <w:rsid w:val="6506609B"/>
    <w:rsid w:val="65083216"/>
    <w:rsid w:val="653C3417"/>
    <w:rsid w:val="65460728"/>
    <w:rsid w:val="656868EF"/>
    <w:rsid w:val="657A608F"/>
    <w:rsid w:val="657D778E"/>
    <w:rsid w:val="65822810"/>
    <w:rsid w:val="65870C45"/>
    <w:rsid w:val="65A656FE"/>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74A0D"/>
    <w:rsid w:val="661D25CE"/>
    <w:rsid w:val="66206CF2"/>
    <w:rsid w:val="66265846"/>
    <w:rsid w:val="66287C9C"/>
    <w:rsid w:val="663F30F5"/>
    <w:rsid w:val="6646231E"/>
    <w:rsid w:val="664805B8"/>
    <w:rsid w:val="66592643"/>
    <w:rsid w:val="665B55EA"/>
    <w:rsid w:val="66655F85"/>
    <w:rsid w:val="66716512"/>
    <w:rsid w:val="667C7AEC"/>
    <w:rsid w:val="66984358"/>
    <w:rsid w:val="66984625"/>
    <w:rsid w:val="669B7C76"/>
    <w:rsid w:val="669D0EEA"/>
    <w:rsid w:val="66A200F8"/>
    <w:rsid w:val="66A30EC2"/>
    <w:rsid w:val="66AA4BA8"/>
    <w:rsid w:val="66AE5459"/>
    <w:rsid w:val="66C955BD"/>
    <w:rsid w:val="66DC317D"/>
    <w:rsid w:val="66EB4314"/>
    <w:rsid w:val="66F15393"/>
    <w:rsid w:val="670C6D27"/>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B163D1"/>
    <w:rsid w:val="67D365F8"/>
    <w:rsid w:val="67F45538"/>
    <w:rsid w:val="680239EB"/>
    <w:rsid w:val="68046AF5"/>
    <w:rsid w:val="680722DA"/>
    <w:rsid w:val="681938D1"/>
    <w:rsid w:val="682211D1"/>
    <w:rsid w:val="683E6C7D"/>
    <w:rsid w:val="68523B9A"/>
    <w:rsid w:val="685C6395"/>
    <w:rsid w:val="68607778"/>
    <w:rsid w:val="686318DD"/>
    <w:rsid w:val="68635145"/>
    <w:rsid w:val="687918F7"/>
    <w:rsid w:val="687F607E"/>
    <w:rsid w:val="68877872"/>
    <w:rsid w:val="688E25E2"/>
    <w:rsid w:val="68A34C5C"/>
    <w:rsid w:val="68C53CFA"/>
    <w:rsid w:val="68CA3183"/>
    <w:rsid w:val="68E24981"/>
    <w:rsid w:val="68E31B32"/>
    <w:rsid w:val="68F73307"/>
    <w:rsid w:val="69123F86"/>
    <w:rsid w:val="691C3525"/>
    <w:rsid w:val="69216128"/>
    <w:rsid w:val="69280874"/>
    <w:rsid w:val="693A417E"/>
    <w:rsid w:val="695D5355"/>
    <w:rsid w:val="695D6B21"/>
    <w:rsid w:val="695E22F2"/>
    <w:rsid w:val="69611EE7"/>
    <w:rsid w:val="696C708E"/>
    <w:rsid w:val="696F4D5D"/>
    <w:rsid w:val="69722623"/>
    <w:rsid w:val="697A5FE9"/>
    <w:rsid w:val="697F0E06"/>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6F6AF1"/>
    <w:rsid w:val="6A711183"/>
    <w:rsid w:val="6A762B91"/>
    <w:rsid w:val="6A7773E9"/>
    <w:rsid w:val="6A7925E0"/>
    <w:rsid w:val="6A7B4B9C"/>
    <w:rsid w:val="6AAF014C"/>
    <w:rsid w:val="6ACB082B"/>
    <w:rsid w:val="6AD3247E"/>
    <w:rsid w:val="6AD432DA"/>
    <w:rsid w:val="6AE308A6"/>
    <w:rsid w:val="6B1D6FAB"/>
    <w:rsid w:val="6B287FBE"/>
    <w:rsid w:val="6B2B0EFD"/>
    <w:rsid w:val="6B2C13E4"/>
    <w:rsid w:val="6B32585A"/>
    <w:rsid w:val="6B3F5380"/>
    <w:rsid w:val="6B4B0A4C"/>
    <w:rsid w:val="6B4F21E3"/>
    <w:rsid w:val="6B50310B"/>
    <w:rsid w:val="6B5045E2"/>
    <w:rsid w:val="6B63243A"/>
    <w:rsid w:val="6B736A2E"/>
    <w:rsid w:val="6B7C51E5"/>
    <w:rsid w:val="6B8170D6"/>
    <w:rsid w:val="6B884219"/>
    <w:rsid w:val="6B90781F"/>
    <w:rsid w:val="6BA9194F"/>
    <w:rsid w:val="6BB00FBD"/>
    <w:rsid w:val="6BBF4CB6"/>
    <w:rsid w:val="6BCC3362"/>
    <w:rsid w:val="6BDA15AC"/>
    <w:rsid w:val="6BE402C8"/>
    <w:rsid w:val="6BE727F5"/>
    <w:rsid w:val="6BFD6EE1"/>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D056EA6"/>
    <w:rsid w:val="6D06056F"/>
    <w:rsid w:val="6D221E52"/>
    <w:rsid w:val="6D227835"/>
    <w:rsid w:val="6D2B0A2A"/>
    <w:rsid w:val="6D2B6338"/>
    <w:rsid w:val="6D2F1D94"/>
    <w:rsid w:val="6D311114"/>
    <w:rsid w:val="6D3851E6"/>
    <w:rsid w:val="6D3C6626"/>
    <w:rsid w:val="6D4B0E7D"/>
    <w:rsid w:val="6D5D0DB5"/>
    <w:rsid w:val="6D6855B1"/>
    <w:rsid w:val="6D7B4AB7"/>
    <w:rsid w:val="6D842A6D"/>
    <w:rsid w:val="6D89784B"/>
    <w:rsid w:val="6D98205C"/>
    <w:rsid w:val="6D9E0566"/>
    <w:rsid w:val="6DA32D3A"/>
    <w:rsid w:val="6DDC72CD"/>
    <w:rsid w:val="6DF43BD4"/>
    <w:rsid w:val="6E0B0D16"/>
    <w:rsid w:val="6E0E1FAB"/>
    <w:rsid w:val="6E122C8B"/>
    <w:rsid w:val="6E16333B"/>
    <w:rsid w:val="6E193EB1"/>
    <w:rsid w:val="6E2143FB"/>
    <w:rsid w:val="6E2C6EBD"/>
    <w:rsid w:val="6E317378"/>
    <w:rsid w:val="6E3C00E0"/>
    <w:rsid w:val="6E4215C6"/>
    <w:rsid w:val="6E4B0158"/>
    <w:rsid w:val="6E4D223F"/>
    <w:rsid w:val="6E4D611F"/>
    <w:rsid w:val="6E4F3D89"/>
    <w:rsid w:val="6E5413AD"/>
    <w:rsid w:val="6E567C9E"/>
    <w:rsid w:val="6E635028"/>
    <w:rsid w:val="6E636A71"/>
    <w:rsid w:val="6E685B0A"/>
    <w:rsid w:val="6E695F11"/>
    <w:rsid w:val="6E73404A"/>
    <w:rsid w:val="6E7355AA"/>
    <w:rsid w:val="6E7736BC"/>
    <w:rsid w:val="6E8A5A47"/>
    <w:rsid w:val="6E920B5B"/>
    <w:rsid w:val="6E990B16"/>
    <w:rsid w:val="6EB169D3"/>
    <w:rsid w:val="6EB67DEB"/>
    <w:rsid w:val="6EB829B1"/>
    <w:rsid w:val="6EB978A9"/>
    <w:rsid w:val="6EC42765"/>
    <w:rsid w:val="6ECC3A24"/>
    <w:rsid w:val="6ED86D3E"/>
    <w:rsid w:val="6EDD143D"/>
    <w:rsid w:val="6EDD7A49"/>
    <w:rsid w:val="6EDE559B"/>
    <w:rsid w:val="6EE9744F"/>
    <w:rsid w:val="6EEC3F7C"/>
    <w:rsid w:val="6EFE1485"/>
    <w:rsid w:val="6F031F8E"/>
    <w:rsid w:val="6F0425B3"/>
    <w:rsid w:val="6F0633BB"/>
    <w:rsid w:val="6F0D382C"/>
    <w:rsid w:val="6F1859D0"/>
    <w:rsid w:val="6F2632E8"/>
    <w:rsid w:val="6F30363A"/>
    <w:rsid w:val="6F3316E5"/>
    <w:rsid w:val="6F3A20F3"/>
    <w:rsid w:val="6F3F40F9"/>
    <w:rsid w:val="6F474F6D"/>
    <w:rsid w:val="6F6F14E1"/>
    <w:rsid w:val="6F85366A"/>
    <w:rsid w:val="6F90702F"/>
    <w:rsid w:val="6F9E1043"/>
    <w:rsid w:val="6FA629D4"/>
    <w:rsid w:val="6FA75ADB"/>
    <w:rsid w:val="6FB0079D"/>
    <w:rsid w:val="6FB744A4"/>
    <w:rsid w:val="6FB77ED4"/>
    <w:rsid w:val="6FBD4D2F"/>
    <w:rsid w:val="6FBE54C9"/>
    <w:rsid w:val="6FBF4710"/>
    <w:rsid w:val="6FC27371"/>
    <w:rsid w:val="6FC9109F"/>
    <w:rsid w:val="6FC973F7"/>
    <w:rsid w:val="6FCE5372"/>
    <w:rsid w:val="6FD222C4"/>
    <w:rsid w:val="6FDB518F"/>
    <w:rsid w:val="6FE529ED"/>
    <w:rsid w:val="6FF733A7"/>
    <w:rsid w:val="70003DD9"/>
    <w:rsid w:val="70035FEA"/>
    <w:rsid w:val="70072915"/>
    <w:rsid w:val="70172090"/>
    <w:rsid w:val="70195E88"/>
    <w:rsid w:val="701D2B73"/>
    <w:rsid w:val="701D43BA"/>
    <w:rsid w:val="701E1483"/>
    <w:rsid w:val="702728D9"/>
    <w:rsid w:val="702B6F43"/>
    <w:rsid w:val="7032079E"/>
    <w:rsid w:val="703C186A"/>
    <w:rsid w:val="70570007"/>
    <w:rsid w:val="706A1AFA"/>
    <w:rsid w:val="70814FA2"/>
    <w:rsid w:val="70822BAD"/>
    <w:rsid w:val="708746BC"/>
    <w:rsid w:val="708F7F54"/>
    <w:rsid w:val="709E3D85"/>
    <w:rsid w:val="70AA583F"/>
    <w:rsid w:val="70AC660B"/>
    <w:rsid w:val="70B17138"/>
    <w:rsid w:val="70BB2EF0"/>
    <w:rsid w:val="70BC2801"/>
    <w:rsid w:val="70C6646C"/>
    <w:rsid w:val="70FC2D1E"/>
    <w:rsid w:val="71015D6B"/>
    <w:rsid w:val="711059F7"/>
    <w:rsid w:val="71144B84"/>
    <w:rsid w:val="71151975"/>
    <w:rsid w:val="71336A65"/>
    <w:rsid w:val="713B5291"/>
    <w:rsid w:val="71473A79"/>
    <w:rsid w:val="71545B37"/>
    <w:rsid w:val="71573E01"/>
    <w:rsid w:val="71596474"/>
    <w:rsid w:val="716D7A3B"/>
    <w:rsid w:val="71702748"/>
    <w:rsid w:val="717F0007"/>
    <w:rsid w:val="71867894"/>
    <w:rsid w:val="719F17C1"/>
    <w:rsid w:val="719F7A78"/>
    <w:rsid w:val="71C20005"/>
    <w:rsid w:val="71C7444E"/>
    <w:rsid w:val="71C7540C"/>
    <w:rsid w:val="71F64A63"/>
    <w:rsid w:val="71F870B8"/>
    <w:rsid w:val="72021233"/>
    <w:rsid w:val="720B2A1D"/>
    <w:rsid w:val="72174817"/>
    <w:rsid w:val="7231040E"/>
    <w:rsid w:val="72430D76"/>
    <w:rsid w:val="72445E9B"/>
    <w:rsid w:val="72614063"/>
    <w:rsid w:val="72671940"/>
    <w:rsid w:val="727C422C"/>
    <w:rsid w:val="7292045A"/>
    <w:rsid w:val="72974DBE"/>
    <w:rsid w:val="72A20C20"/>
    <w:rsid w:val="72AC5E95"/>
    <w:rsid w:val="72AE20F2"/>
    <w:rsid w:val="72B078E9"/>
    <w:rsid w:val="72C13ED7"/>
    <w:rsid w:val="72CA3BE3"/>
    <w:rsid w:val="72CF1AC7"/>
    <w:rsid w:val="72DB144B"/>
    <w:rsid w:val="72DB201A"/>
    <w:rsid w:val="72E42AFA"/>
    <w:rsid w:val="72E671B2"/>
    <w:rsid w:val="72E75711"/>
    <w:rsid w:val="72E85578"/>
    <w:rsid w:val="72EB4466"/>
    <w:rsid w:val="72EE11C3"/>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91A4A"/>
    <w:rsid w:val="737807F3"/>
    <w:rsid w:val="737F155E"/>
    <w:rsid w:val="7388529A"/>
    <w:rsid w:val="738A6895"/>
    <w:rsid w:val="73B04FAB"/>
    <w:rsid w:val="73BC7089"/>
    <w:rsid w:val="73BC725F"/>
    <w:rsid w:val="73BE7067"/>
    <w:rsid w:val="73E52294"/>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021C6"/>
    <w:rsid w:val="74B44784"/>
    <w:rsid w:val="74B808BF"/>
    <w:rsid w:val="74ED6DC4"/>
    <w:rsid w:val="75084E8F"/>
    <w:rsid w:val="751122B7"/>
    <w:rsid w:val="751F214A"/>
    <w:rsid w:val="75202656"/>
    <w:rsid w:val="753C7073"/>
    <w:rsid w:val="75472D8D"/>
    <w:rsid w:val="754D69F5"/>
    <w:rsid w:val="755743A4"/>
    <w:rsid w:val="75632490"/>
    <w:rsid w:val="75656DE5"/>
    <w:rsid w:val="7567120A"/>
    <w:rsid w:val="75752B04"/>
    <w:rsid w:val="75845A54"/>
    <w:rsid w:val="758910BB"/>
    <w:rsid w:val="75955DA9"/>
    <w:rsid w:val="75977910"/>
    <w:rsid w:val="759F2A35"/>
    <w:rsid w:val="75B15C41"/>
    <w:rsid w:val="75B25EA1"/>
    <w:rsid w:val="75C54845"/>
    <w:rsid w:val="75C76C47"/>
    <w:rsid w:val="75D12923"/>
    <w:rsid w:val="75EA364B"/>
    <w:rsid w:val="75F20996"/>
    <w:rsid w:val="75F96973"/>
    <w:rsid w:val="75FE5A56"/>
    <w:rsid w:val="760E1952"/>
    <w:rsid w:val="76123E1D"/>
    <w:rsid w:val="762A17C0"/>
    <w:rsid w:val="76425118"/>
    <w:rsid w:val="764838B9"/>
    <w:rsid w:val="764B15DA"/>
    <w:rsid w:val="764C09B4"/>
    <w:rsid w:val="764F5A52"/>
    <w:rsid w:val="766A4A0D"/>
    <w:rsid w:val="766B37EE"/>
    <w:rsid w:val="767C18AE"/>
    <w:rsid w:val="7692667A"/>
    <w:rsid w:val="7693567A"/>
    <w:rsid w:val="76982273"/>
    <w:rsid w:val="769A7352"/>
    <w:rsid w:val="76A177B8"/>
    <w:rsid w:val="76AD2761"/>
    <w:rsid w:val="76B2071B"/>
    <w:rsid w:val="76B64E53"/>
    <w:rsid w:val="76B8001A"/>
    <w:rsid w:val="76BC314A"/>
    <w:rsid w:val="76CF29D3"/>
    <w:rsid w:val="76D23D6D"/>
    <w:rsid w:val="76DC7E3D"/>
    <w:rsid w:val="76E33ABE"/>
    <w:rsid w:val="76E52E89"/>
    <w:rsid w:val="76EC14D7"/>
    <w:rsid w:val="76EC51FD"/>
    <w:rsid w:val="76ED32B6"/>
    <w:rsid w:val="76F410B8"/>
    <w:rsid w:val="77070DB8"/>
    <w:rsid w:val="77194245"/>
    <w:rsid w:val="771B67DF"/>
    <w:rsid w:val="77356BD9"/>
    <w:rsid w:val="77451578"/>
    <w:rsid w:val="77464BD7"/>
    <w:rsid w:val="77692EA3"/>
    <w:rsid w:val="777C21C8"/>
    <w:rsid w:val="777D1985"/>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4529"/>
    <w:rsid w:val="77F3789A"/>
    <w:rsid w:val="77F865B2"/>
    <w:rsid w:val="780326B9"/>
    <w:rsid w:val="78034B6F"/>
    <w:rsid w:val="7833711D"/>
    <w:rsid w:val="78413251"/>
    <w:rsid w:val="78497C2E"/>
    <w:rsid w:val="7854087B"/>
    <w:rsid w:val="78572CFF"/>
    <w:rsid w:val="785C3834"/>
    <w:rsid w:val="786A4053"/>
    <w:rsid w:val="78782A0D"/>
    <w:rsid w:val="787B5060"/>
    <w:rsid w:val="787E0AC5"/>
    <w:rsid w:val="788720E7"/>
    <w:rsid w:val="78A90B04"/>
    <w:rsid w:val="78AE558D"/>
    <w:rsid w:val="78BD69DE"/>
    <w:rsid w:val="78C26EAE"/>
    <w:rsid w:val="78C53485"/>
    <w:rsid w:val="78C76A01"/>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4C2D60"/>
    <w:rsid w:val="7A5E32E2"/>
    <w:rsid w:val="7A6E4BF5"/>
    <w:rsid w:val="7A7A1A54"/>
    <w:rsid w:val="7A805A0E"/>
    <w:rsid w:val="7A851D5D"/>
    <w:rsid w:val="7A8A2267"/>
    <w:rsid w:val="7A8F43F6"/>
    <w:rsid w:val="7A92511C"/>
    <w:rsid w:val="7A9F6F88"/>
    <w:rsid w:val="7AB53126"/>
    <w:rsid w:val="7AB76FE8"/>
    <w:rsid w:val="7AD268E2"/>
    <w:rsid w:val="7ADC0950"/>
    <w:rsid w:val="7ADC0B33"/>
    <w:rsid w:val="7AE14C19"/>
    <w:rsid w:val="7AEA174E"/>
    <w:rsid w:val="7AEC1B31"/>
    <w:rsid w:val="7B274176"/>
    <w:rsid w:val="7B2D7590"/>
    <w:rsid w:val="7B307D4E"/>
    <w:rsid w:val="7B351398"/>
    <w:rsid w:val="7B356407"/>
    <w:rsid w:val="7B401C79"/>
    <w:rsid w:val="7B440ED6"/>
    <w:rsid w:val="7B4611D7"/>
    <w:rsid w:val="7B4678D7"/>
    <w:rsid w:val="7B4B2A93"/>
    <w:rsid w:val="7B527515"/>
    <w:rsid w:val="7B5922B3"/>
    <w:rsid w:val="7B6569FF"/>
    <w:rsid w:val="7B890A24"/>
    <w:rsid w:val="7B9D6584"/>
    <w:rsid w:val="7BAA485C"/>
    <w:rsid w:val="7BAD1591"/>
    <w:rsid w:val="7BAF117E"/>
    <w:rsid w:val="7BB04D57"/>
    <w:rsid w:val="7BD3716B"/>
    <w:rsid w:val="7BD77797"/>
    <w:rsid w:val="7BEC2711"/>
    <w:rsid w:val="7BF55850"/>
    <w:rsid w:val="7BFE117C"/>
    <w:rsid w:val="7C047802"/>
    <w:rsid w:val="7C1054B7"/>
    <w:rsid w:val="7C143FB0"/>
    <w:rsid w:val="7C190A33"/>
    <w:rsid w:val="7C21195F"/>
    <w:rsid w:val="7C26369C"/>
    <w:rsid w:val="7C2A465C"/>
    <w:rsid w:val="7C305879"/>
    <w:rsid w:val="7C321B3F"/>
    <w:rsid w:val="7C34521A"/>
    <w:rsid w:val="7C4A2BD1"/>
    <w:rsid w:val="7C4F775D"/>
    <w:rsid w:val="7C576C70"/>
    <w:rsid w:val="7C5B0211"/>
    <w:rsid w:val="7C6D5985"/>
    <w:rsid w:val="7C701814"/>
    <w:rsid w:val="7C77043F"/>
    <w:rsid w:val="7C77330E"/>
    <w:rsid w:val="7C8A7CDC"/>
    <w:rsid w:val="7C9E5A24"/>
    <w:rsid w:val="7CB4006B"/>
    <w:rsid w:val="7CB93ABB"/>
    <w:rsid w:val="7CC32529"/>
    <w:rsid w:val="7CCD2199"/>
    <w:rsid w:val="7CE656F0"/>
    <w:rsid w:val="7CE87FE8"/>
    <w:rsid w:val="7CED34FF"/>
    <w:rsid w:val="7CEE5458"/>
    <w:rsid w:val="7CF26588"/>
    <w:rsid w:val="7CF305CD"/>
    <w:rsid w:val="7CF565D7"/>
    <w:rsid w:val="7CFA3A46"/>
    <w:rsid w:val="7D0F5720"/>
    <w:rsid w:val="7D117609"/>
    <w:rsid w:val="7D1F61D2"/>
    <w:rsid w:val="7D260EB6"/>
    <w:rsid w:val="7D2E198F"/>
    <w:rsid w:val="7D366D67"/>
    <w:rsid w:val="7D3B3737"/>
    <w:rsid w:val="7D3D73AF"/>
    <w:rsid w:val="7D420743"/>
    <w:rsid w:val="7D5B27C9"/>
    <w:rsid w:val="7D62117D"/>
    <w:rsid w:val="7D666D1A"/>
    <w:rsid w:val="7D816CE5"/>
    <w:rsid w:val="7D834A16"/>
    <w:rsid w:val="7D855CE9"/>
    <w:rsid w:val="7D9D438F"/>
    <w:rsid w:val="7DA514D2"/>
    <w:rsid w:val="7DCD4EB5"/>
    <w:rsid w:val="7DF83D1A"/>
    <w:rsid w:val="7DFF415C"/>
    <w:rsid w:val="7E090313"/>
    <w:rsid w:val="7E1C2730"/>
    <w:rsid w:val="7E2E4C94"/>
    <w:rsid w:val="7E3E0B9F"/>
    <w:rsid w:val="7E3E0FEC"/>
    <w:rsid w:val="7E3E1EF2"/>
    <w:rsid w:val="7E436D4C"/>
    <w:rsid w:val="7E5949B5"/>
    <w:rsid w:val="7E5C1ABA"/>
    <w:rsid w:val="7E62165E"/>
    <w:rsid w:val="7E622778"/>
    <w:rsid w:val="7E6553B9"/>
    <w:rsid w:val="7E756346"/>
    <w:rsid w:val="7E85174A"/>
    <w:rsid w:val="7E851FBF"/>
    <w:rsid w:val="7E8B4DC2"/>
    <w:rsid w:val="7EAA7C26"/>
    <w:rsid w:val="7EAF1FAA"/>
    <w:rsid w:val="7EB1719A"/>
    <w:rsid w:val="7EB4653A"/>
    <w:rsid w:val="7EC06781"/>
    <w:rsid w:val="7ECA4601"/>
    <w:rsid w:val="7EDC02B0"/>
    <w:rsid w:val="7EDC22AD"/>
    <w:rsid w:val="7EE34086"/>
    <w:rsid w:val="7EE55F89"/>
    <w:rsid w:val="7EEB5719"/>
    <w:rsid w:val="7EF215E8"/>
    <w:rsid w:val="7EF525E1"/>
    <w:rsid w:val="7EF74FC9"/>
    <w:rsid w:val="7F0C2035"/>
    <w:rsid w:val="7F0F7992"/>
    <w:rsid w:val="7F1B0865"/>
    <w:rsid w:val="7F271AA3"/>
    <w:rsid w:val="7F332190"/>
    <w:rsid w:val="7F3843DF"/>
    <w:rsid w:val="7F470F76"/>
    <w:rsid w:val="7F5131F8"/>
    <w:rsid w:val="7F542B37"/>
    <w:rsid w:val="7F6B2248"/>
    <w:rsid w:val="7F7D7A8E"/>
    <w:rsid w:val="7F872588"/>
    <w:rsid w:val="7F8725BA"/>
    <w:rsid w:val="7F8C6A8F"/>
    <w:rsid w:val="7F961D37"/>
    <w:rsid w:val="7F980F2D"/>
    <w:rsid w:val="7F9C175D"/>
    <w:rsid w:val="7FA85877"/>
    <w:rsid w:val="7FB431A7"/>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1"/>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Date"/>
    <w:basedOn w:val="1"/>
    <w:next w:val="1"/>
    <w:semiHidden/>
    <w:unhideWhenUsed/>
    <w:qFormat/>
    <w:uiPriority w:val="99"/>
    <w:pPr>
      <w:tabs>
        <w:tab w:val="left" w:pos="720"/>
      </w:tabs>
      <w:ind w:left="100" w:leftChars="2500"/>
    </w:pPr>
    <w:rPr>
      <w:rFonts w:eastAsia="宋体"/>
      <w:lang w:eastAsia="en-US"/>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3"/>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2"/>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